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839" w:rsidRPr="00AD0839" w:rsidRDefault="00AD0839" w:rsidP="00AD0839">
      <w:pPr>
        <w:spacing w:beforeAutospacing="1" w:after="100" w:afterAutospacing="1" w:line="240" w:lineRule="auto"/>
        <w:outlineLvl w:val="0"/>
        <w:rPr>
          <w:rFonts w:ascii="Arial" w:eastAsia="Times New Roman" w:hAnsi="Arial" w:cs="Arial"/>
          <w:color w:val="D0071C"/>
          <w:kern w:val="36"/>
          <w:lang w:val="fr-FR" w:eastAsia="en-GB"/>
        </w:rPr>
      </w:pPr>
      <w:r w:rsidRPr="00AD0839">
        <w:rPr>
          <w:rFonts w:ascii="Arial" w:eastAsia="Times New Roman" w:hAnsi="Arial" w:cs="Arial"/>
          <w:color w:val="D0071C"/>
          <w:kern w:val="36"/>
          <w:lang w:val="fr-FR" w:eastAsia="en-GB"/>
        </w:rPr>
        <w:t>D-2 NTC capacity calculation project</w:t>
      </w:r>
    </w:p>
    <w:p w:rsidR="00AD0839" w:rsidRPr="00AD0839" w:rsidRDefault="00AD0839" w:rsidP="00AD0839">
      <w:pPr>
        <w:spacing w:before="100" w:beforeAutospacing="1" w:after="100" w:afterAutospacing="1" w:line="240" w:lineRule="auto"/>
        <w:rPr>
          <w:rFonts w:ascii="Arial" w:eastAsia="Times New Roman" w:hAnsi="Arial" w:cs="Arial"/>
          <w:color w:val="666666"/>
          <w:sz w:val="16"/>
          <w:szCs w:val="16"/>
          <w:lang w:val="fr-FR" w:eastAsia="en-GB"/>
        </w:rPr>
      </w:pPr>
      <w:r w:rsidRPr="00AD0839">
        <w:rPr>
          <w:rFonts w:ascii="Arial" w:eastAsia="Times New Roman" w:hAnsi="Arial" w:cs="Arial"/>
          <w:color w:val="666666"/>
          <w:sz w:val="24"/>
          <w:szCs w:val="24"/>
          <w:lang w:val="fr-FR" w:eastAsia="en-GB"/>
        </w:rPr>
        <w:t xml:space="preserve">TSOs of the region « Italian north borders » started in summer 2012 a D-2 coordinated capacity calculation project aiming at anticipating the requirements of the Guideline Capacity Allocation and Congestion Management. </w:t>
      </w:r>
      <w:r w:rsidRPr="00AD0839">
        <w:rPr>
          <w:rFonts w:ascii="Arial" w:eastAsia="Times New Roman" w:hAnsi="Arial" w:cs="Arial"/>
          <w:color w:val="666666"/>
          <w:sz w:val="24"/>
          <w:szCs w:val="24"/>
          <w:lang w:val="fr-FR" w:eastAsia="en-GB"/>
        </w:rPr>
        <w:br/>
      </w:r>
      <w:r w:rsidRPr="00AD0839">
        <w:rPr>
          <w:rFonts w:ascii="Arial" w:eastAsia="Times New Roman" w:hAnsi="Arial" w:cs="Arial"/>
          <w:color w:val="666666"/>
          <w:sz w:val="24"/>
          <w:szCs w:val="24"/>
          <w:lang w:val="fr-FR" w:eastAsia="en-GB"/>
        </w:rPr>
        <w:br/>
        <w:t xml:space="preserve">This D-2 NTC capacity calculation project relies on 7 projects partners: </w:t>
      </w:r>
    </w:p>
    <w:p w:rsidR="00AD0839" w:rsidRPr="00AD0839" w:rsidRDefault="00AD0839" w:rsidP="00AD0839">
      <w:pPr>
        <w:numPr>
          <w:ilvl w:val="0"/>
          <w:numId w:val="1"/>
        </w:numPr>
        <w:spacing w:before="100" w:beforeAutospacing="1" w:after="100" w:afterAutospacing="1" w:line="240" w:lineRule="auto"/>
        <w:ind w:left="4230"/>
        <w:rPr>
          <w:rFonts w:ascii="Arial" w:eastAsia="Times New Roman" w:hAnsi="Arial" w:cs="Arial"/>
          <w:color w:val="666666"/>
          <w:sz w:val="16"/>
          <w:szCs w:val="16"/>
          <w:lang w:val="fr-FR" w:eastAsia="en-GB"/>
        </w:rPr>
      </w:pPr>
      <w:r w:rsidRPr="00AD0839">
        <w:rPr>
          <w:rFonts w:ascii="Arial" w:eastAsia="Times New Roman" w:hAnsi="Arial" w:cs="Arial"/>
          <w:color w:val="666666"/>
          <w:sz w:val="24"/>
          <w:szCs w:val="24"/>
          <w:lang w:val="fr-FR" w:eastAsia="en-GB"/>
        </w:rPr>
        <w:t xml:space="preserve">APG, ELES, RTE, Terna and Swissgrid </w:t>
      </w:r>
    </w:p>
    <w:p w:rsidR="00AD0839" w:rsidRPr="00AD0839" w:rsidRDefault="00AD0839" w:rsidP="00AD0839">
      <w:pPr>
        <w:numPr>
          <w:ilvl w:val="0"/>
          <w:numId w:val="1"/>
        </w:numPr>
        <w:spacing w:before="100" w:beforeAutospacing="1" w:after="100" w:afterAutospacing="1" w:line="240" w:lineRule="auto"/>
        <w:ind w:left="4230"/>
        <w:rPr>
          <w:rFonts w:ascii="Arial" w:eastAsia="Times New Roman" w:hAnsi="Arial" w:cs="Arial"/>
          <w:color w:val="666666"/>
          <w:sz w:val="16"/>
          <w:szCs w:val="16"/>
          <w:lang w:val="fr-FR" w:eastAsia="en-GB"/>
        </w:rPr>
      </w:pPr>
      <w:r w:rsidRPr="00AD0839">
        <w:rPr>
          <w:rFonts w:ascii="Arial" w:eastAsia="Times New Roman" w:hAnsi="Arial" w:cs="Arial"/>
          <w:color w:val="666666"/>
          <w:sz w:val="24"/>
          <w:szCs w:val="24"/>
          <w:lang w:val="fr-FR" w:eastAsia="en-GB"/>
        </w:rPr>
        <w:t xml:space="preserve">two Regional Security Cooperation Initiatives (RSCI) in charge of performing the capacity calculation based on inputs TSOs: TSCNET Services and Coreso </w:t>
      </w:r>
    </w:p>
    <w:p w:rsidR="00AD0839" w:rsidRPr="00AD0839" w:rsidRDefault="00AD0839" w:rsidP="00AD0839">
      <w:pPr>
        <w:spacing w:before="100" w:beforeAutospacing="1" w:after="100" w:afterAutospacing="1" w:line="240" w:lineRule="auto"/>
        <w:rPr>
          <w:rFonts w:ascii="Arial" w:eastAsia="Times New Roman" w:hAnsi="Arial" w:cs="Arial"/>
          <w:color w:val="666666"/>
          <w:sz w:val="16"/>
          <w:szCs w:val="16"/>
          <w:lang w:val="fr-FR" w:eastAsia="en-GB"/>
        </w:rPr>
      </w:pPr>
      <w:r w:rsidRPr="00AD0839">
        <w:rPr>
          <w:rFonts w:ascii="Arial" w:eastAsia="Times New Roman" w:hAnsi="Arial" w:cs="Arial"/>
          <w:color w:val="666666"/>
          <w:sz w:val="24"/>
          <w:szCs w:val="24"/>
          <w:lang w:val="fr-FR" w:eastAsia="en-GB"/>
        </w:rPr>
        <w:t>The D-2 NTC capacity calculation project concern 4 borders</w:t>
      </w:r>
    </w:p>
    <w:p w:rsidR="00AD0839" w:rsidRPr="00AD0839" w:rsidRDefault="00AD0839" w:rsidP="00AD0839">
      <w:pPr>
        <w:numPr>
          <w:ilvl w:val="0"/>
          <w:numId w:val="2"/>
        </w:numPr>
        <w:spacing w:before="100" w:beforeAutospacing="1" w:after="100" w:afterAutospacing="1" w:line="240" w:lineRule="auto"/>
        <w:ind w:left="4230"/>
        <w:rPr>
          <w:rFonts w:ascii="Arial" w:eastAsia="Times New Roman" w:hAnsi="Arial" w:cs="Arial"/>
          <w:color w:val="666666"/>
          <w:sz w:val="16"/>
          <w:szCs w:val="16"/>
          <w:lang w:val="fr-FR" w:eastAsia="en-GB"/>
        </w:rPr>
      </w:pPr>
      <w:r w:rsidRPr="00AD0839">
        <w:rPr>
          <w:rFonts w:ascii="Arial" w:eastAsia="Times New Roman" w:hAnsi="Arial" w:cs="Arial"/>
          <w:color w:val="666666"/>
          <w:sz w:val="24"/>
          <w:szCs w:val="24"/>
          <w:lang w:val="fr-FR" w:eastAsia="en-GB"/>
        </w:rPr>
        <w:t xml:space="preserve">France-Italy </w:t>
      </w:r>
    </w:p>
    <w:p w:rsidR="00AD0839" w:rsidRPr="00AD0839" w:rsidRDefault="00AD0839" w:rsidP="00AD0839">
      <w:pPr>
        <w:numPr>
          <w:ilvl w:val="0"/>
          <w:numId w:val="2"/>
        </w:numPr>
        <w:spacing w:before="100" w:beforeAutospacing="1" w:after="100" w:afterAutospacing="1" w:line="240" w:lineRule="auto"/>
        <w:ind w:left="4230"/>
        <w:rPr>
          <w:rFonts w:ascii="Arial" w:eastAsia="Times New Roman" w:hAnsi="Arial" w:cs="Arial"/>
          <w:color w:val="666666"/>
          <w:sz w:val="16"/>
          <w:szCs w:val="16"/>
          <w:lang w:val="fr-FR" w:eastAsia="en-GB"/>
        </w:rPr>
      </w:pPr>
      <w:r w:rsidRPr="00AD0839">
        <w:rPr>
          <w:rFonts w:ascii="Arial" w:eastAsia="Times New Roman" w:hAnsi="Arial" w:cs="Arial"/>
          <w:color w:val="666666"/>
          <w:sz w:val="24"/>
          <w:szCs w:val="24"/>
          <w:lang w:val="fr-FR" w:eastAsia="en-GB"/>
        </w:rPr>
        <w:t xml:space="preserve">Switzerland - Italy </w:t>
      </w:r>
    </w:p>
    <w:p w:rsidR="00AD0839" w:rsidRPr="00AD0839" w:rsidRDefault="00AD0839" w:rsidP="00AD0839">
      <w:pPr>
        <w:numPr>
          <w:ilvl w:val="0"/>
          <w:numId w:val="2"/>
        </w:numPr>
        <w:spacing w:before="100" w:beforeAutospacing="1" w:after="100" w:afterAutospacing="1" w:line="240" w:lineRule="auto"/>
        <w:ind w:left="4230"/>
        <w:rPr>
          <w:rFonts w:ascii="Arial" w:eastAsia="Times New Roman" w:hAnsi="Arial" w:cs="Arial"/>
          <w:color w:val="666666"/>
          <w:sz w:val="16"/>
          <w:szCs w:val="16"/>
          <w:lang w:val="fr-FR" w:eastAsia="en-GB"/>
        </w:rPr>
      </w:pPr>
      <w:r w:rsidRPr="00AD0839">
        <w:rPr>
          <w:rFonts w:ascii="Arial" w:eastAsia="Times New Roman" w:hAnsi="Arial" w:cs="Arial"/>
          <w:color w:val="666666"/>
          <w:sz w:val="24"/>
          <w:szCs w:val="24"/>
          <w:lang w:val="fr-FR" w:eastAsia="en-GB"/>
        </w:rPr>
        <w:t xml:space="preserve">Luxembourg/Germany/Austria - Italy </w:t>
      </w:r>
    </w:p>
    <w:p w:rsidR="00AD0839" w:rsidRPr="00AD0839" w:rsidRDefault="00AD0839" w:rsidP="00AD0839">
      <w:pPr>
        <w:numPr>
          <w:ilvl w:val="0"/>
          <w:numId w:val="2"/>
        </w:numPr>
        <w:spacing w:before="100" w:beforeAutospacing="1" w:after="100" w:afterAutospacing="1" w:line="240" w:lineRule="auto"/>
        <w:ind w:left="4230"/>
        <w:rPr>
          <w:rFonts w:ascii="Arial" w:eastAsia="Times New Roman" w:hAnsi="Arial" w:cs="Arial"/>
          <w:color w:val="666666"/>
          <w:sz w:val="16"/>
          <w:szCs w:val="16"/>
          <w:lang w:val="fr-FR" w:eastAsia="en-GB"/>
        </w:rPr>
      </w:pPr>
      <w:r w:rsidRPr="00AD0839">
        <w:rPr>
          <w:rFonts w:ascii="Arial" w:eastAsia="Times New Roman" w:hAnsi="Arial" w:cs="Arial"/>
          <w:color w:val="666666"/>
          <w:sz w:val="24"/>
          <w:szCs w:val="24"/>
          <w:lang w:val="fr-FR" w:eastAsia="en-GB"/>
        </w:rPr>
        <w:t xml:space="preserve">Slovenia - Italy </w:t>
      </w:r>
    </w:p>
    <w:p w:rsidR="00AD0839" w:rsidRPr="00AD0839" w:rsidRDefault="00AD0839" w:rsidP="00AD0839">
      <w:pPr>
        <w:spacing w:before="100" w:beforeAutospacing="1" w:after="100" w:afterAutospacing="1" w:line="240" w:lineRule="auto"/>
        <w:rPr>
          <w:rFonts w:ascii="Arial" w:eastAsia="Times New Roman" w:hAnsi="Arial" w:cs="Arial"/>
          <w:color w:val="666666"/>
          <w:sz w:val="16"/>
          <w:szCs w:val="16"/>
          <w:lang w:val="fr-FR" w:eastAsia="en-GB"/>
        </w:rPr>
      </w:pPr>
      <w:r w:rsidRPr="00AD0839">
        <w:rPr>
          <w:rFonts w:ascii="Arial" w:eastAsia="Times New Roman" w:hAnsi="Arial" w:cs="Arial"/>
          <w:color w:val="666666"/>
          <w:sz w:val="24"/>
          <w:szCs w:val="24"/>
          <w:lang w:val="fr-FR" w:eastAsia="en-GB"/>
        </w:rPr>
        <w:t>The project is organized into different phases:</w:t>
      </w:r>
    </w:p>
    <w:p w:rsidR="00AD0839" w:rsidRPr="00AD0839" w:rsidRDefault="00AD0839" w:rsidP="00AD0839">
      <w:pPr>
        <w:numPr>
          <w:ilvl w:val="0"/>
          <w:numId w:val="3"/>
        </w:numPr>
        <w:spacing w:before="100" w:beforeAutospacing="1" w:after="100" w:afterAutospacing="1" w:line="240" w:lineRule="auto"/>
        <w:ind w:left="4230"/>
        <w:rPr>
          <w:rFonts w:ascii="Arial" w:eastAsia="Times New Roman" w:hAnsi="Arial" w:cs="Arial"/>
          <w:color w:val="666666"/>
          <w:sz w:val="16"/>
          <w:szCs w:val="16"/>
          <w:lang w:val="fr-FR" w:eastAsia="en-GB"/>
        </w:rPr>
      </w:pPr>
      <w:r w:rsidRPr="00AD0839">
        <w:rPr>
          <w:rFonts w:ascii="Arial" w:eastAsia="Times New Roman" w:hAnsi="Arial" w:cs="Arial"/>
          <w:b/>
          <w:bCs/>
          <w:color w:val="666666"/>
          <w:sz w:val="24"/>
          <w:szCs w:val="24"/>
          <w:lang w:val="fr-FR" w:eastAsia="en-GB"/>
        </w:rPr>
        <w:t>Prototyping:</w:t>
      </w:r>
      <w:r w:rsidRPr="00AD0839">
        <w:rPr>
          <w:rFonts w:ascii="Arial" w:eastAsia="Times New Roman" w:hAnsi="Arial" w:cs="Arial"/>
          <w:color w:val="666666"/>
          <w:sz w:val="24"/>
          <w:szCs w:val="24"/>
          <w:lang w:val="fr-FR" w:eastAsia="en-GB"/>
        </w:rPr>
        <w:t xml:space="preserve"> definition of a capacity calculation methodology, after which each project partner developed its tool in order test the process. This phase started in summer 2012. </w:t>
      </w:r>
    </w:p>
    <w:p w:rsidR="00AD0839" w:rsidRPr="00AD0839" w:rsidRDefault="00AD0839" w:rsidP="00AD0839">
      <w:pPr>
        <w:numPr>
          <w:ilvl w:val="0"/>
          <w:numId w:val="3"/>
        </w:numPr>
        <w:spacing w:before="100" w:beforeAutospacing="1" w:after="100" w:afterAutospacing="1" w:line="240" w:lineRule="auto"/>
        <w:ind w:left="4230"/>
        <w:rPr>
          <w:rFonts w:ascii="Arial" w:eastAsia="Times New Roman" w:hAnsi="Arial" w:cs="Arial"/>
          <w:color w:val="666666"/>
          <w:sz w:val="16"/>
          <w:szCs w:val="16"/>
          <w:lang w:val="fr-FR" w:eastAsia="en-GB"/>
        </w:rPr>
      </w:pPr>
      <w:r w:rsidRPr="00AD0839">
        <w:rPr>
          <w:rFonts w:ascii="Arial" w:eastAsia="Times New Roman" w:hAnsi="Arial" w:cs="Arial"/>
          <w:b/>
          <w:bCs/>
          <w:color w:val="666666"/>
          <w:sz w:val="24"/>
          <w:szCs w:val="24"/>
          <w:lang w:val="fr-FR" w:eastAsia="en-GB"/>
        </w:rPr>
        <w:t>Internal dry run:</w:t>
      </w:r>
      <w:r w:rsidRPr="00AD0839">
        <w:rPr>
          <w:rFonts w:ascii="Arial" w:eastAsia="Times New Roman" w:hAnsi="Arial" w:cs="Arial"/>
          <w:color w:val="666666"/>
          <w:sz w:val="24"/>
          <w:szCs w:val="24"/>
          <w:lang w:val="fr-FR" w:eastAsia="en-GB"/>
        </w:rPr>
        <w:t xml:space="preserve"> internal daily execution of the calculations in order to improve the process (results are only shared among project partners). There is no impact on the allocated capacity. This phase started in February 2014. </w:t>
      </w:r>
    </w:p>
    <w:p w:rsidR="00AD0839" w:rsidRPr="00AD0839" w:rsidRDefault="00AD0839" w:rsidP="00AD0839">
      <w:pPr>
        <w:numPr>
          <w:ilvl w:val="0"/>
          <w:numId w:val="3"/>
        </w:numPr>
        <w:spacing w:before="100" w:beforeAutospacing="1" w:after="100" w:afterAutospacing="1" w:line="240" w:lineRule="auto"/>
        <w:ind w:left="4230"/>
        <w:rPr>
          <w:rFonts w:ascii="Arial" w:eastAsia="Times New Roman" w:hAnsi="Arial" w:cs="Arial"/>
          <w:color w:val="666666"/>
          <w:sz w:val="16"/>
          <w:szCs w:val="16"/>
          <w:lang w:val="fr-FR" w:eastAsia="en-GB"/>
        </w:rPr>
      </w:pPr>
      <w:r w:rsidRPr="00AD0839">
        <w:rPr>
          <w:rFonts w:ascii="Arial" w:eastAsia="Times New Roman" w:hAnsi="Arial" w:cs="Arial"/>
          <w:b/>
          <w:bCs/>
          <w:color w:val="666666"/>
          <w:sz w:val="24"/>
          <w:szCs w:val="24"/>
          <w:lang w:eastAsia="en-GB"/>
        </w:rPr>
        <w:t>External dry run:</w:t>
      </w:r>
      <w:r w:rsidRPr="00AD0839">
        <w:rPr>
          <w:rFonts w:ascii="Arial" w:eastAsia="Times New Roman" w:hAnsi="Arial" w:cs="Arial"/>
          <w:color w:val="666666"/>
          <w:sz w:val="24"/>
          <w:szCs w:val="24"/>
          <w:lang w:eastAsia="en-GB"/>
        </w:rPr>
        <w:t xml:space="preserve"> daily execution of the process and publication of the results in order to inform stakeholders. </w:t>
      </w:r>
      <w:r w:rsidRPr="00AD0839">
        <w:rPr>
          <w:rFonts w:ascii="Arial" w:eastAsia="Times New Roman" w:hAnsi="Arial" w:cs="Arial"/>
          <w:color w:val="666666"/>
          <w:sz w:val="24"/>
          <w:szCs w:val="24"/>
          <w:lang w:val="fr-FR" w:eastAsia="en-GB"/>
        </w:rPr>
        <w:t xml:space="preserve">There is no impact on the allocated capacity. This phase started on 2015 July 30th. </w:t>
      </w:r>
    </w:p>
    <w:p w:rsidR="00AD0839" w:rsidRPr="00AD0839" w:rsidRDefault="00AD0839" w:rsidP="00AD0839">
      <w:pPr>
        <w:numPr>
          <w:ilvl w:val="0"/>
          <w:numId w:val="3"/>
        </w:numPr>
        <w:spacing w:before="100" w:beforeAutospacing="1" w:after="100" w:afterAutospacing="1" w:line="240" w:lineRule="auto"/>
        <w:ind w:left="4230"/>
        <w:rPr>
          <w:rFonts w:ascii="Arial" w:eastAsia="Times New Roman" w:hAnsi="Arial" w:cs="Arial"/>
          <w:color w:val="666666"/>
          <w:sz w:val="16"/>
          <w:szCs w:val="16"/>
          <w:lang w:val="fr-FR" w:eastAsia="en-GB"/>
        </w:rPr>
      </w:pPr>
      <w:r w:rsidRPr="00AD0839">
        <w:rPr>
          <w:rFonts w:ascii="Arial" w:eastAsia="Times New Roman" w:hAnsi="Arial" w:cs="Arial"/>
          <w:b/>
          <w:bCs/>
          <w:color w:val="666666"/>
          <w:sz w:val="24"/>
          <w:szCs w:val="24"/>
          <w:lang w:val="fr-FR" w:eastAsia="en-GB"/>
        </w:rPr>
        <w:t>Full live test:</w:t>
      </w:r>
      <w:r w:rsidRPr="00AD0839">
        <w:rPr>
          <w:rFonts w:ascii="Arial" w:eastAsia="Times New Roman" w:hAnsi="Arial" w:cs="Arial"/>
          <w:color w:val="666666"/>
          <w:sz w:val="24"/>
          <w:szCs w:val="24"/>
          <w:lang w:val="fr-FR" w:eastAsia="en-GB"/>
        </w:rPr>
        <w:t xml:space="preserve"> in addition to what is performed during External dry run, in this phase TSOs have flexibility regarding the capacity to be used for the allocation considering both the traditional process and the new experimented process. Phase not started yet. </w:t>
      </w:r>
    </w:p>
    <w:p w:rsidR="00AD0839" w:rsidRPr="00AD0839" w:rsidRDefault="00AD0839" w:rsidP="00AD0839">
      <w:pPr>
        <w:numPr>
          <w:ilvl w:val="0"/>
          <w:numId w:val="3"/>
        </w:numPr>
        <w:spacing w:before="100" w:beforeAutospacing="1" w:after="100" w:afterAutospacing="1" w:line="240" w:lineRule="auto"/>
        <w:ind w:left="4230"/>
        <w:rPr>
          <w:rFonts w:ascii="Arial" w:eastAsia="Times New Roman" w:hAnsi="Arial" w:cs="Arial"/>
          <w:color w:val="666666"/>
          <w:sz w:val="16"/>
          <w:szCs w:val="16"/>
          <w:lang w:val="fr-FR" w:eastAsia="en-GB"/>
        </w:rPr>
      </w:pPr>
      <w:r w:rsidRPr="00AD0839">
        <w:rPr>
          <w:rFonts w:ascii="Arial" w:eastAsia="Times New Roman" w:hAnsi="Arial" w:cs="Arial"/>
          <w:b/>
          <w:bCs/>
          <w:color w:val="666666"/>
          <w:sz w:val="24"/>
          <w:szCs w:val="24"/>
          <w:lang w:val="fr-FR" w:eastAsia="en-GB"/>
        </w:rPr>
        <w:t>Go Live:</w:t>
      </w:r>
      <w:r w:rsidRPr="00AD0839">
        <w:rPr>
          <w:rFonts w:ascii="Arial" w:eastAsia="Times New Roman" w:hAnsi="Arial" w:cs="Arial"/>
          <w:color w:val="666666"/>
          <w:sz w:val="24"/>
          <w:szCs w:val="24"/>
          <w:lang w:val="fr-FR" w:eastAsia="en-GB"/>
        </w:rPr>
        <w:t xml:space="preserve"> the experimented process becomes the operational one as judged sufficiently mature and reliable. Phase not started yet. </w:t>
      </w:r>
    </w:p>
    <w:p w:rsidR="00AD0839" w:rsidRPr="00AD0839" w:rsidRDefault="00AD0839" w:rsidP="00AD0839">
      <w:pPr>
        <w:spacing w:before="100" w:beforeAutospacing="1" w:after="100" w:afterAutospacing="1" w:line="240" w:lineRule="auto"/>
        <w:ind w:left="4230"/>
        <w:jc w:val="center"/>
        <w:rPr>
          <w:rFonts w:ascii="Arial" w:eastAsia="Times New Roman" w:hAnsi="Arial" w:cs="Arial"/>
          <w:color w:val="666666"/>
          <w:sz w:val="16"/>
          <w:szCs w:val="16"/>
          <w:lang w:val="fr-FR" w:eastAsia="en-GB"/>
        </w:rPr>
      </w:pPr>
      <w:r w:rsidRPr="00AD0839">
        <w:rPr>
          <w:rFonts w:ascii="Arial" w:eastAsia="Times New Roman" w:hAnsi="Arial" w:cs="Arial"/>
          <w:color w:val="666666"/>
          <w:sz w:val="24"/>
          <w:szCs w:val="24"/>
          <w:lang w:val="fr-FR" w:eastAsia="en-GB"/>
        </w:rPr>
        <w:lastRenderedPageBreak/>
        <w:t xml:space="preserve">A description of the current methodology applied is described in the following document: </w:t>
      </w:r>
      <w:r w:rsidRPr="00AD0839">
        <w:rPr>
          <w:rFonts w:ascii="Arial" w:eastAsia="Times New Roman" w:hAnsi="Arial" w:cs="Arial"/>
          <w:color w:val="666666"/>
          <w:sz w:val="24"/>
          <w:szCs w:val="24"/>
          <w:lang w:val="fr-FR" w:eastAsia="en-GB"/>
        </w:rPr>
        <w:br/>
      </w:r>
      <w:hyperlink r:id="rId5" w:history="1">
        <w:r w:rsidRPr="00AD0839">
          <w:rPr>
            <w:rFonts w:ascii="Times New Roman" w:eastAsia="Times New Roman" w:hAnsi="Times New Roman" w:cs="Times New Roman"/>
            <w:color w:val="0000FF"/>
            <w:sz w:val="24"/>
            <w:szCs w:val="24"/>
            <w:lang w:val="fr-FR" w:eastAsia="en-GB"/>
          </w:rPr>
          <w:t>Capacity Calculation Methodology on northern Italian borders</w:t>
        </w:r>
      </w:hyperlink>
      <w:r w:rsidRPr="00AD0839">
        <w:rPr>
          <w:rFonts w:ascii="Arial" w:eastAsia="Times New Roman" w:hAnsi="Arial" w:cs="Arial"/>
          <w:color w:val="666666"/>
          <w:sz w:val="24"/>
          <w:szCs w:val="24"/>
          <w:lang w:val="fr-FR" w:eastAsia="en-GB"/>
        </w:rPr>
        <w:br/>
        <w:t xml:space="preserve">Results of the calculations performed during external dry run can be found hereafter: </w:t>
      </w:r>
      <w:r w:rsidRPr="00AD0839">
        <w:rPr>
          <w:rFonts w:ascii="Arial" w:eastAsia="Times New Roman" w:hAnsi="Arial" w:cs="Arial"/>
          <w:color w:val="666666"/>
          <w:sz w:val="24"/>
          <w:szCs w:val="24"/>
          <w:lang w:val="fr-FR" w:eastAsia="en-GB"/>
        </w:rPr>
        <w:br/>
      </w:r>
      <w:hyperlink r:id="rId6" w:history="1">
        <w:r w:rsidRPr="00AD0839">
          <w:rPr>
            <w:rFonts w:ascii="Times New Roman" w:eastAsia="Times New Roman" w:hAnsi="Times New Roman" w:cs="Times New Roman"/>
            <w:color w:val="0000FF"/>
            <w:sz w:val="24"/>
            <w:szCs w:val="24"/>
            <w:lang w:val="fr-FR" w:eastAsia="en-GB"/>
          </w:rPr>
          <w:t>Daily published values</w:t>
        </w:r>
      </w:hyperlink>
      <w:r w:rsidRPr="00AD0839">
        <w:rPr>
          <w:rFonts w:ascii="Arial" w:eastAsia="Times New Roman" w:hAnsi="Arial" w:cs="Arial"/>
          <w:color w:val="666666"/>
          <w:sz w:val="24"/>
          <w:szCs w:val="24"/>
          <w:lang w:val="fr-FR" w:eastAsia="en-GB"/>
        </w:rPr>
        <w:t xml:space="preserve"> </w:t>
      </w:r>
    </w:p>
    <w:p w:rsidR="005A17AC" w:rsidRDefault="005A17AC">
      <w:bookmarkStart w:id="0" w:name="_GoBack"/>
      <w:bookmarkEnd w:id="0"/>
    </w:p>
    <w:sectPr w:rsidR="005A17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A6210C"/>
    <w:multiLevelType w:val="multilevel"/>
    <w:tmpl w:val="0C10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B13B2C"/>
    <w:multiLevelType w:val="multilevel"/>
    <w:tmpl w:val="89446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2A63F8"/>
    <w:multiLevelType w:val="multilevel"/>
    <w:tmpl w:val="EA24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7B5"/>
    <w:rsid w:val="005A17AC"/>
    <w:rsid w:val="009117B5"/>
    <w:rsid w:val="00AD0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371EF-3675-4D89-99A3-171597733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D0839"/>
    <w:pPr>
      <w:spacing w:before="100" w:beforeAutospacing="1" w:after="100" w:afterAutospacing="1" w:line="240" w:lineRule="auto"/>
      <w:outlineLvl w:val="0"/>
    </w:pPr>
    <w:rPr>
      <w:rFonts w:ascii="Arial" w:eastAsia="Times New Roman" w:hAnsi="Arial" w:cs="Arial"/>
      <w:kern w:val="36"/>
      <w:sz w:val="34"/>
      <w:szCs w:val="3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839"/>
    <w:rPr>
      <w:rFonts w:ascii="Arial" w:eastAsia="Times New Roman" w:hAnsi="Arial" w:cs="Arial"/>
      <w:kern w:val="36"/>
      <w:sz w:val="34"/>
      <w:szCs w:val="34"/>
      <w:lang w:eastAsia="en-GB"/>
    </w:rPr>
  </w:style>
  <w:style w:type="character" w:styleId="Hyperlink">
    <w:name w:val="Hyperlink"/>
    <w:basedOn w:val="DefaultParagraphFont"/>
    <w:uiPriority w:val="99"/>
    <w:semiHidden/>
    <w:unhideWhenUsed/>
    <w:rsid w:val="00AD0839"/>
    <w:rPr>
      <w:strike w:val="0"/>
      <w:dstrike w:val="0"/>
      <w:color w:val="0000FF"/>
      <w:u w:val="none"/>
      <w:effect w:val="none"/>
    </w:rPr>
  </w:style>
  <w:style w:type="paragraph" w:styleId="NormalWeb">
    <w:name w:val="Normal (Web)"/>
    <w:basedOn w:val="Normal"/>
    <w:uiPriority w:val="99"/>
    <w:semiHidden/>
    <w:unhideWhenUsed/>
    <w:rsid w:val="00AD08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1">
    <w:name w:val="bold1"/>
    <w:basedOn w:val="DefaultParagraphFont"/>
    <w:rsid w:val="00AD08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300850">
      <w:bodyDiv w:val="1"/>
      <w:marLeft w:val="0"/>
      <w:marRight w:val="0"/>
      <w:marTop w:val="0"/>
      <w:marBottom w:val="0"/>
      <w:divBdr>
        <w:top w:val="none" w:sz="0" w:space="0" w:color="auto"/>
        <w:left w:val="none" w:sz="0" w:space="0" w:color="auto"/>
        <w:bottom w:val="none" w:sz="0" w:space="0" w:color="auto"/>
        <w:right w:val="none" w:sz="0" w:space="0" w:color="auto"/>
      </w:divBdr>
      <w:divsChild>
        <w:div w:id="352195164">
          <w:marLeft w:val="0"/>
          <w:marRight w:val="0"/>
          <w:marTop w:val="100"/>
          <w:marBottom w:val="100"/>
          <w:divBdr>
            <w:top w:val="none" w:sz="0" w:space="0" w:color="auto"/>
            <w:left w:val="none" w:sz="0" w:space="0" w:color="auto"/>
            <w:bottom w:val="none" w:sz="0" w:space="0" w:color="auto"/>
            <w:right w:val="none" w:sz="0" w:space="0" w:color="auto"/>
          </w:divBdr>
          <w:divsChild>
            <w:div w:id="93520610">
              <w:marLeft w:val="3510"/>
              <w:marRight w:val="0"/>
              <w:marTop w:val="0"/>
              <w:marBottom w:val="0"/>
              <w:divBdr>
                <w:top w:val="none" w:sz="0" w:space="0" w:color="auto"/>
                <w:left w:val="none" w:sz="0" w:space="0" w:color="auto"/>
                <w:bottom w:val="none" w:sz="0" w:space="0" w:color="auto"/>
                <w:right w:val="none" w:sz="0" w:space="0" w:color="auto"/>
              </w:divBdr>
              <w:divsChild>
                <w:div w:id="1803618882">
                  <w:marLeft w:val="0"/>
                  <w:marRight w:val="225"/>
                  <w:marTop w:val="0"/>
                  <w:marBottom w:val="0"/>
                  <w:divBdr>
                    <w:top w:val="none" w:sz="0" w:space="0" w:color="auto"/>
                    <w:left w:val="none" w:sz="0" w:space="0" w:color="auto"/>
                    <w:bottom w:val="none" w:sz="0" w:space="0" w:color="auto"/>
                    <w:right w:val="none" w:sz="0" w:space="0" w:color="auto"/>
                  </w:divBdr>
                  <w:divsChild>
                    <w:div w:id="37146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sc.eu/en/Resource-center/Italian-North-Borders/Daily-published-values" TargetMode="External"/><Relationship Id="rId5" Type="http://schemas.openxmlformats.org/officeDocument/2006/relationships/hyperlink" Target="http://www.casc.eu/media/Capacity%20Calculation%20Methodology%20on%20NIB.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1847</Characters>
  <Application>Microsoft Office Word</Application>
  <DocSecurity>0</DocSecurity>
  <Lines>15</Lines>
  <Paragraphs>4</Paragraphs>
  <ScaleCrop>false</ScaleCrop>
  <Company>ebrc</Company>
  <LinksUpToDate>false</LinksUpToDate>
  <CharactersWithSpaces>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Balint Csuri</dc:creator>
  <cp:keywords/>
  <dc:description/>
  <cp:lastModifiedBy>Balint Csuri</cp:lastModifiedBy>
  <cp:revision>2</cp:revision>
  <dcterms:created xsi:type="dcterms:W3CDTF">2015-12-19T11:40:00Z</dcterms:created>
  <dcterms:modified xsi:type="dcterms:W3CDTF">2015-12-19T11:40:00Z</dcterms:modified>
</cp:coreProperties>
</file>