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EB2357" w:rsidRDefault="00EB2357" w:rsidP="00EB2357">
      <w:pPr>
        <w:pStyle w:val="Titel"/>
        <w:tabs>
          <w:tab w:val="left" w:pos="6000"/>
        </w:tabs>
        <w:jc w:val="center"/>
        <w:rPr>
          <w:b/>
        </w:rPr>
      </w:pPr>
    </w:p>
    <w:p w:rsidR="009356A1" w:rsidRPr="009356A1" w:rsidRDefault="009356A1" w:rsidP="009356A1">
      <w:pPr>
        <w:jc w:val="center"/>
        <w:rPr>
          <w:rFonts w:asciiTheme="majorHAnsi" w:eastAsiaTheme="majorEastAsia" w:hAnsiTheme="majorHAnsi" w:cstheme="majorBidi"/>
          <w:b/>
          <w:color w:val="371652" w:themeColor="text2" w:themeShade="BF"/>
          <w:spacing w:val="5"/>
          <w:kern w:val="28"/>
          <w:sz w:val="36"/>
          <w:szCs w:val="52"/>
          <w:lang w:val="en-US"/>
        </w:rPr>
      </w:pPr>
      <w:r w:rsidRPr="009356A1">
        <w:rPr>
          <w:rFonts w:asciiTheme="majorHAnsi" w:eastAsiaTheme="majorEastAsia" w:hAnsiTheme="majorHAnsi" w:cstheme="majorBidi"/>
          <w:b/>
          <w:color w:val="371652" w:themeColor="text2" w:themeShade="BF"/>
          <w:spacing w:val="5"/>
          <w:kern w:val="28"/>
          <w:sz w:val="36"/>
          <w:szCs w:val="52"/>
          <w:lang w:val="en-US"/>
        </w:rPr>
        <w:t>Update of CBCO list due to a reconfiguration of the grid topology close to the Dutch-German border</w:t>
      </w:r>
    </w:p>
    <w:p w:rsidR="00EB2357" w:rsidRPr="00EB2357" w:rsidRDefault="00EB2357" w:rsidP="009356A1">
      <w:pPr>
        <w:jc w:val="center"/>
        <w:rPr>
          <w:b/>
          <w:lang w:val="en-US"/>
        </w:rPr>
      </w:pPr>
    </w:p>
    <w:p w:rsidR="00C41156" w:rsidRPr="00EB2357" w:rsidRDefault="009356A1" w:rsidP="009356A1">
      <w:pPr>
        <w:pStyle w:val="KeinLeerraum"/>
        <w:jc w:val="center"/>
        <w:rPr>
          <w:lang w:val="en-US"/>
        </w:rPr>
      </w:pPr>
      <w:r w:rsidRPr="009356A1">
        <w:rPr>
          <w:b/>
          <w:color w:val="404040" w:themeColor="text1" w:themeTint="BF"/>
          <w:sz w:val="20"/>
          <w:lang w:val="en-US"/>
        </w:rPr>
        <w:t>Standard Procedure for Assessing the Impact of Changes (SPAIC)</w:t>
      </w:r>
    </w:p>
    <w:p w:rsidR="00EB2357" w:rsidRDefault="00EB2357" w:rsidP="00EB2357">
      <w:pPr>
        <w:pStyle w:val="berschrift1"/>
        <w:rPr>
          <w:lang w:val="en-US"/>
        </w:rPr>
      </w:pPr>
      <w:r w:rsidRPr="00EB2357">
        <w:rPr>
          <w:lang w:val="en-US"/>
        </w:rPr>
        <w:br w:type="column"/>
      </w:r>
      <w:r w:rsidRPr="00EB2357">
        <w:rPr>
          <w:color w:val="7030A0"/>
          <w:lang w:val="en-US"/>
        </w:rPr>
        <w:lastRenderedPageBreak/>
        <w:t>Context</w:t>
      </w:r>
    </w:p>
    <w:p w:rsidR="00EB2357" w:rsidRPr="00EB2357" w:rsidRDefault="00EB2357" w:rsidP="00EB2357">
      <w:pPr>
        <w:pStyle w:val="KeinLeerraum"/>
        <w:rPr>
          <w:rFonts w:cstheme="minorHAnsi"/>
          <w:sz w:val="20"/>
          <w:szCs w:val="20"/>
          <w:lang w:val="en-US"/>
        </w:rPr>
      </w:pPr>
      <w:r w:rsidRPr="00EB2357">
        <w:rPr>
          <w:rFonts w:cstheme="minorHAnsi"/>
          <w:sz w:val="20"/>
          <w:szCs w:val="20"/>
          <w:lang w:val="en-US"/>
        </w:rPr>
        <w:t xml:space="preserve">In the CWE Consultative Group of 30/03/2016 it was agreed that TSOs would perform a Standard Procedure for Assessing the Impact of Changes (SPAIC) for a commonly agreed list of relevant changes, including the commissioning of new assets. </w:t>
      </w:r>
    </w:p>
    <w:p w:rsidR="00EB2357" w:rsidRPr="00EB2357" w:rsidRDefault="00EB2357" w:rsidP="00EB2357">
      <w:pPr>
        <w:pStyle w:val="KeinLeerraum"/>
        <w:rPr>
          <w:rFonts w:cstheme="minorHAnsi"/>
          <w:sz w:val="20"/>
          <w:szCs w:val="20"/>
          <w:lang w:val="en-US"/>
        </w:rPr>
      </w:pPr>
    </w:p>
    <w:p w:rsidR="00CA0090" w:rsidRDefault="00EB2357" w:rsidP="00EB2357">
      <w:pPr>
        <w:pStyle w:val="KeinLeerraum"/>
        <w:rPr>
          <w:rFonts w:cstheme="minorHAnsi"/>
          <w:sz w:val="20"/>
          <w:szCs w:val="20"/>
          <w:lang w:val="en-US"/>
        </w:rPr>
      </w:pPr>
      <w:r w:rsidRPr="00EB2357">
        <w:rPr>
          <w:rFonts w:cstheme="minorHAnsi"/>
          <w:sz w:val="20"/>
          <w:szCs w:val="20"/>
          <w:lang w:val="en-US"/>
        </w:rPr>
        <w:t>Due to a reconfiguration of the grid topology close to the Dutch</w:t>
      </w:r>
      <w:r w:rsidR="009356A1">
        <w:rPr>
          <w:rFonts w:cstheme="minorHAnsi"/>
          <w:sz w:val="20"/>
          <w:szCs w:val="20"/>
          <w:lang w:val="en-US"/>
        </w:rPr>
        <w:t>-German</w:t>
      </w:r>
      <w:r w:rsidRPr="00EB2357">
        <w:rPr>
          <w:rFonts w:cstheme="minorHAnsi"/>
          <w:sz w:val="20"/>
          <w:szCs w:val="20"/>
          <w:lang w:val="en-US"/>
        </w:rPr>
        <w:t xml:space="preserve"> border, </w:t>
      </w:r>
      <w:proofErr w:type="spellStart"/>
      <w:r w:rsidRPr="00EB2357">
        <w:rPr>
          <w:rFonts w:cstheme="minorHAnsi"/>
          <w:sz w:val="20"/>
          <w:szCs w:val="20"/>
          <w:lang w:val="en-US"/>
        </w:rPr>
        <w:t>Amprion</w:t>
      </w:r>
      <w:proofErr w:type="spellEnd"/>
      <w:r w:rsidRPr="00EB2357">
        <w:rPr>
          <w:rFonts w:cstheme="minorHAnsi"/>
          <w:sz w:val="20"/>
          <w:szCs w:val="20"/>
          <w:lang w:val="en-US"/>
        </w:rPr>
        <w:t xml:space="preserve"> will update the CBCO list</w:t>
      </w:r>
      <w:r w:rsidR="00CA0090">
        <w:rPr>
          <w:rFonts w:cstheme="minorHAnsi"/>
          <w:sz w:val="20"/>
          <w:szCs w:val="20"/>
          <w:lang w:val="en-US"/>
        </w:rPr>
        <w:t xml:space="preserve"> (Critical Branch Critical Outage)</w:t>
      </w:r>
      <w:r w:rsidRPr="00EB2357">
        <w:rPr>
          <w:rFonts w:cstheme="minorHAnsi"/>
          <w:sz w:val="20"/>
          <w:szCs w:val="20"/>
          <w:lang w:val="en-US"/>
        </w:rPr>
        <w:t xml:space="preserve"> used for the </w:t>
      </w:r>
      <w:proofErr w:type="spellStart"/>
      <w:r w:rsidRPr="00EB2357">
        <w:rPr>
          <w:rFonts w:cstheme="minorHAnsi"/>
          <w:sz w:val="20"/>
          <w:szCs w:val="20"/>
          <w:lang w:val="en-US"/>
        </w:rPr>
        <w:t>Flowbased</w:t>
      </w:r>
      <w:proofErr w:type="spellEnd"/>
      <w:r w:rsidRPr="00EB2357">
        <w:rPr>
          <w:rFonts w:cstheme="minorHAnsi"/>
          <w:sz w:val="20"/>
          <w:szCs w:val="20"/>
          <w:lang w:val="en-US"/>
        </w:rPr>
        <w:t xml:space="preserve"> Market Coupling. </w:t>
      </w:r>
    </w:p>
    <w:p w:rsidR="00EB2357" w:rsidRPr="00EB2357" w:rsidRDefault="00EB2357" w:rsidP="00EB2357">
      <w:pPr>
        <w:pStyle w:val="KeinLeerraum"/>
        <w:rPr>
          <w:rFonts w:cstheme="minorHAnsi"/>
          <w:sz w:val="20"/>
          <w:szCs w:val="20"/>
          <w:lang w:val="en-US"/>
        </w:rPr>
      </w:pPr>
      <w:r w:rsidRPr="00EB2357">
        <w:rPr>
          <w:rFonts w:cstheme="minorHAnsi"/>
          <w:sz w:val="20"/>
          <w:szCs w:val="20"/>
          <w:lang w:val="en-US"/>
        </w:rPr>
        <w:t xml:space="preserve">Moreover, </w:t>
      </w:r>
      <w:proofErr w:type="spellStart"/>
      <w:r w:rsidRPr="00EB2357">
        <w:rPr>
          <w:rFonts w:cstheme="minorHAnsi"/>
          <w:sz w:val="20"/>
          <w:szCs w:val="20"/>
          <w:lang w:val="en-US"/>
        </w:rPr>
        <w:t>Amprion</w:t>
      </w:r>
      <w:proofErr w:type="spellEnd"/>
      <w:r w:rsidRPr="00EB2357">
        <w:rPr>
          <w:rFonts w:cstheme="minorHAnsi"/>
          <w:sz w:val="20"/>
          <w:szCs w:val="20"/>
          <w:lang w:val="en-US"/>
        </w:rPr>
        <w:t xml:space="preserve"> extends the monitoring of foreign COs for current CBs. The added CBCOs can be found attached.</w:t>
      </w:r>
    </w:p>
    <w:p w:rsidR="00EB2357" w:rsidRPr="00EB2357" w:rsidRDefault="00EB2357" w:rsidP="00EB2357">
      <w:pPr>
        <w:pStyle w:val="KeinLeerraum"/>
        <w:rPr>
          <w:rFonts w:cstheme="minorHAnsi"/>
          <w:sz w:val="20"/>
          <w:szCs w:val="20"/>
          <w:lang w:val="en-US"/>
        </w:rPr>
      </w:pPr>
    </w:p>
    <w:p w:rsidR="00EB2357" w:rsidRPr="00EB2357" w:rsidRDefault="00EB2357">
      <w:pPr>
        <w:pStyle w:val="KeinLeerraum"/>
        <w:rPr>
          <w:rFonts w:cstheme="minorHAnsi"/>
          <w:sz w:val="20"/>
          <w:szCs w:val="20"/>
          <w:lang w:val="en-US"/>
        </w:rPr>
      </w:pPr>
      <w:r w:rsidRPr="00EB2357">
        <w:rPr>
          <w:rFonts w:cstheme="minorHAnsi"/>
          <w:sz w:val="20"/>
          <w:szCs w:val="20"/>
          <w:lang w:val="en-US"/>
        </w:rPr>
        <w:t xml:space="preserve">The new CBCOs will be </w:t>
      </w:r>
      <w:r>
        <w:rPr>
          <w:rFonts w:cstheme="minorHAnsi"/>
          <w:sz w:val="20"/>
          <w:szCs w:val="20"/>
          <w:lang w:val="en-US"/>
        </w:rPr>
        <w:t>active from 25/08/2018 onwards.</w:t>
      </w:r>
    </w:p>
    <w:p w:rsidR="00EB2357" w:rsidRPr="00EB2357" w:rsidRDefault="00EB2357" w:rsidP="00EB2357">
      <w:pPr>
        <w:pStyle w:val="berschrift1"/>
        <w:rPr>
          <w:color w:val="7030A0"/>
          <w:lang w:val="en-GB"/>
        </w:rPr>
      </w:pPr>
      <w:r w:rsidRPr="00EB2357">
        <w:rPr>
          <w:color w:val="7030A0"/>
          <w:lang w:val="en-GB"/>
        </w:rPr>
        <w:t>Methodology</w:t>
      </w:r>
    </w:p>
    <w:p w:rsidR="00EB2357" w:rsidRPr="00EB2357" w:rsidRDefault="00EB2357" w:rsidP="00EB2357">
      <w:pPr>
        <w:rPr>
          <w:rFonts w:cstheme="minorHAnsi"/>
          <w:lang w:val="en-GB"/>
        </w:rPr>
      </w:pPr>
      <w:r w:rsidRPr="00EB2357">
        <w:rPr>
          <w:rFonts w:cstheme="minorHAnsi"/>
          <w:lang w:val="en-GB"/>
        </w:rPr>
        <w:t xml:space="preserve">A SPAIC analysis consists of a comparison of flow-based domains for 12 typical “reference” days commonly defined by CWE TSOs, in order to estimate the impact of a change in grid topology or flow-based parameters. These 12 reference days are mapped to a larger period based on the characteristics of the days. </w:t>
      </w:r>
    </w:p>
    <w:p w:rsidR="00EB2357" w:rsidRPr="00EB2357" w:rsidRDefault="00EB2357" w:rsidP="00EB2357">
      <w:pPr>
        <w:rPr>
          <w:rFonts w:cstheme="minorHAnsi"/>
          <w:lang w:val="en-GB"/>
        </w:rPr>
      </w:pPr>
      <w:r w:rsidRPr="00EB2357">
        <w:rPr>
          <w:rFonts w:cstheme="minorHAnsi"/>
          <w:lang w:val="en-GB"/>
        </w:rPr>
        <w:t xml:space="preserve">For this SPAIC, the '2017 reference days' for the period 1-1-2017 to 31-12-2017 have been used, and have been mapped to 363 days of the year 2017 (all days of 2017 excluding days with clock changes). Market Coupling Simulations have taken place for the whole period, to average out </w:t>
      </w:r>
      <w:r w:rsidR="009356A1">
        <w:rPr>
          <w:rFonts w:cstheme="minorHAnsi"/>
          <w:lang w:val="en-GB"/>
        </w:rPr>
        <w:t xml:space="preserve">the </w:t>
      </w:r>
      <w:r w:rsidRPr="00EB2357">
        <w:rPr>
          <w:rFonts w:cstheme="minorHAnsi"/>
          <w:lang w:val="en-GB"/>
        </w:rPr>
        <w:t xml:space="preserve">impact of specific order books for the "reference days" selected by the CWE TSOs. By averaging the results per cluster, the average impact of the different flow-based domains can be assessed. </w:t>
      </w:r>
    </w:p>
    <w:p w:rsidR="00EB2357" w:rsidRPr="00EB2357" w:rsidRDefault="00EB2357" w:rsidP="00EB2357">
      <w:pPr>
        <w:rPr>
          <w:rFonts w:cstheme="minorHAnsi"/>
          <w:lang w:val="en-GB"/>
        </w:rPr>
      </w:pPr>
      <w:r w:rsidRPr="00EB2357">
        <w:rPr>
          <w:rFonts w:cstheme="minorHAnsi"/>
          <w:lang w:val="en-GB"/>
        </w:rPr>
        <w:t>The following results are simulated and published:</w:t>
      </w:r>
    </w:p>
    <w:p w:rsidR="00EB2357" w:rsidRPr="00EB2357" w:rsidRDefault="00EB2357" w:rsidP="00EB2357">
      <w:pPr>
        <w:pStyle w:val="Listenabsatz"/>
        <w:numPr>
          <w:ilvl w:val="0"/>
          <w:numId w:val="1"/>
        </w:numPr>
        <w:rPr>
          <w:rFonts w:asciiTheme="minorHAnsi" w:hAnsiTheme="minorHAnsi" w:cstheme="minorHAnsi"/>
          <w:lang w:val="en-GB"/>
        </w:rPr>
      </w:pPr>
      <w:r w:rsidRPr="00EB2357">
        <w:rPr>
          <w:rFonts w:asciiTheme="minorHAnsi" w:hAnsiTheme="minorHAnsi" w:cstheme="minorHAnsi"/>
          <w:lang w:val="en-GB"/>
        </w:rPr>
        <w:t xml:space="preserve">The new pre-solved Flow-Based domains and CBCOs, corresponding with the most probable grid topology (when writing this document) </w:t>
      </w:r>
      <w:r w:rsidR="009356A1">
        <w:rPr>
          <w:rFonts w:asciiTheme="minorHAnsi" w:hAnsiTheme="minorHAnsi" w:cstheme="minorHAnsi"/>
          <w:lang w:val="en-GB"/>
        </w:rPr>
        <w:t>applied to all reference days</w:t>
      </w:r>
    </w:p>
    <w:p w:rsidR="00EB2357" w:rsidRDefault="00EB2357" w:rsidP="00EB2357">
      <w:pPr>
        <w:pStyle w:val="Listenabsatz"/>
        <w:numPr>
          <w:ilvl w:val="0"/>
          <w:numId w:val="1"/>
        </w:numPr>
        <w:rPr>
          <w:rFonts w:asciiTheme="minorHAnsi" w:hAnsiTheme="minorHAnsi" w:cstheme="minorHAnsi"/>
          <w:lang w:val="en-GB"/>
        </w:rPr>
      </w:pPr>
      <w:r w:rsidRPr="00EB2357">
        <w:rPr>
          <w:rFonts w:asciiTheme="minorHAnsi" w:hAnsiTheme="minorHAnsi" w:cstheme="minorHAnsi"/>
          <w:lang w:val="en-GB"/>
        </w:rPr>
        <w:t xml:space="preserve">All market coupling results of the SPAIC days are performed with </w:t>
      </w:r>
      <w:r w:rsidR="009356A1">
        <w:rPr>
          <w:rFonts w:asciiTheme="minorHAnsi" w:hAnsiTheme="minorHAnsi" w:cstheme="minorHAnsi"/>
          <w:lang w:val="en-GB"/>
        </w:rPr>
        <w:t xml:space="preserve">the </w:t>
      </w:r>
      <w:r w:rsidRPr="00EB2357">
        <w:rPr>
          <w:rFonts w:asciiTheme="minorHAnsi" w:hAnsiTheme="minorHAnsi" w:cstheme="minorHAnsi"/>
          <w:lang w:val="en-GB"/>
        </w:rPr>
        <w:t xml:space="preserve">Market Coupling Algorithm Euphemia </w:t>
      </w:r>
      <w:proofErr w:type="gramStart"/>
      <w:r w:rsidRPr="00EB2357">
        <w:rPr>
          <w:rFonts w:asciiTheme="minorHAnsi" w:hAnsiTheme="minorHAnsi" w:cstheme="minorHAnsi"/>
          <w:lang w:val="en-GB"/>
        </w:rPr>
        <w:t>10.2</w:t>
      </w:r>
      <w:r w:rsidRPr="00EB2357">
        <w:rPr>
          <w:rFonts w:asciiTheme="minorHAnsi" w:hAnsiTheme="minorHAnsi" w:cstheme="minorHAnsi"/>
          <w:color w:val="FF0000"/>
          <w:lang w:val="en-GB"/>
        </w:rPr>
        <w:t xml:space="preserve"> </w:t>
      </w:r>
      <w:r w:rsidRPr="00EB2357">
        <w:rPr>
          <w:rFonts w:asciiTheme="minorHAnsi" w:hAnsiTheme="minorHAnsi" w:cstheme="minorHAnsi"/>
          <w:lang w:val="en-GB"/>
        </w:rPr>
        <w:t xml:space="preserve"> (</w:t>
      </w:r>
      <w:proofErr w:type="gramEnd"/>
      <w:r w:rsidRPr="00EB2357">
        <w:rPr>
          <w:rFonts w:asciiTheme="minorHAnsi" w:hAnsiTheme="minorHAnsi" w:cstheme="minorHAnsi"/>
          <w:lang w:val="en-GB"/>
        </w:rPr>
        <w:t>the version currently in operation for Market Coupling).</w:t>
      </w:r>
    </w:p>
    <w:p w:rsidR="009356A1" w:rsidRPr="00EB2357" w:rsidRDefault="009356A1" w:rsidP="009356A1">
      <w:pPr>
        <w:pStyle w:val="Listenabsatz"/>
        <w:rPr>
          <w:rFonts w:asciiTheme="minorHAnsi" w:hAnsiTheme="minorHAnsi" w:cstheme="minorHAnsi"/>
          <w:lang w:val="en-GB"/>
        </w:rPr>
      </w:pPr>
    </w:p>
    <w:p w:rsidR="00EB2357" w:rsidRPr="00EB2357" w:rsidRDefault="00EB2357" w:rsidP="00EB2357">
      <w:pPr>
        <w:rPr>
          <w:rFonts w:cstheme="minorHAnsi"/>
          <w:lang w:val="en-GB"/>
        </w:rPr>
      </w:pPr>
      <w:r w:rsidRPr="00EB2357">
        <w:rPr>
          <w:rFonts w:cstheme="minorHAnsi"/>
          <w:lang w:val="en-GB"/>
        </w:rPr>
        <w:t>The data of th</w:t>
      </w:r>
      <w:bookmarkStart w:id="0" w:name="_GoBack"/>
      <w:bookmarkEnd w:id="0"/>
      <w:r w:rsidRPr="00EB2357">
        <w:rPr>
          <w:rFonts w:cstheme="minorHAnsi"/>
          <w:lang w:val="en-GB"/>
        </w:rPr>
        <w:t>e simulation results is joined to this document.</w:t>
      </w:r>
    </w:p>
    <w:p w:rsidR="00EB2357" w:rsidRDefault="00EB2357" w:rsidP="00EB2357">
      <w:pPr>
        <w:rPr>
          <w:rFonts w:ascii="Arial" w:hAnsi="Arial" w:cs="Arial"/>
          <w:b/>
          <w:bCs/>
          <w:color w:val="auto"/>
          <w:szCs w:val="20"/>
          <w:lang w:val="en-GB"/>
        </w:rPr>
        <w:sectPr w:rsidR="00EB2357" w:rsidSect="002D0F76">
          <w:headerReference w:type="default" r:id="rId8"/>
          <w:pgSz w:w="11906" w:h="16838"/>
          <w:pgMar w:top="1701" w:right="1582" w:bottom="1559" w:left="1582" w:header="709" w:footer="709" w:gutter="0"/>
          <w:cols w:space="708"/>
          <w:docGrid w:linePitch="360"/>
        </w:sectPr>
      </w:pPr>
    </w:p>
    <w:p w:rsidR="00EB2357" w:rsidRPr="00EB2357" w:rsidRDefault="00EB2357" w:rsidP="00EB2357">
      <w:pPr>
        <w:pStyle w:val="berschrift1"/>
        <w:rPr>
          <w:color w:val="7030A0"/>
          <w:lang w:val="en-GB"/>
        </w:rPr>
      </w:pPr>
      <w:r w:rsidRPr="00EB2357">
        <w:rPr>
          <w:color w:val="7030A0"/>
          <w:lang w:val="en-GB"/>
        </w:rPr>
        <w:lastRenderedPageBreak/>
        <w:t>Published datasets</w:t>
      </w:r>
    </w:p>
    <w:p w:rsidR="00EB2357" w:rsidRDefault="00EB2357" w:rsidP="00EB2357">
      <w:pPr>
        <w:rPr>
          <w:lang w:val="en-GB"/>
        </w:rPr>
      </w:pPr>
      <w:r w:rsidRPr="009B17DC">
        <w:rPr>
          <w:lang w:val="en-GB"/>
        </w:rPr>
        <w:t>The table below summarizes the standard outputs of a SPAIC analysis that were agreed upon, including a reference to the joined datasets indicating where the corresponding information can be found.</w:t>
      </w:r>
    </w:p>
    <w:p w:rsidR="00EB2357" w:rsidRDefault="00EB2357" w:rsidP="00EB2357">
      <w:pPr>
        <w:rPr>
          <w:lang w:val="en-GB"/>
        </w:rPr>
      </w:pPr>
    </w:p>
    <w:tbl>
      <w:tblPr>
        <w:tblStyle w:val="HelleListe-Akzent1"/>
        <w:tblW w:w="0" w:type="auto"/>
        <w:tblLook w:val="00A0" w:firstRow="1" w:lastRow="0" w:firstColumn="1" w:lastColumn="0" w:noHBand="0" w:noVBand="0"/>
      </w:tblPr>
      <w:tblGrid>
        <w:gridCol w:w="491"/>
        <w:gridCol w:w="2887"/>
        <w:gridCol w:w="2987"/>
        <w:gridCol w:w="2923"/>
      </w:tblGrid>
      <w:tr w:rsidR="00EB2357" w:rsidTr="00C84E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4" w:type="dxa"/>
          </w:tcPr>
          <w:p w:rsidR="00EB2357" w:rsidRDefault="00EB2357" w:rsidP="00C84EE9">
            <w:pPr>
              <w:rPr>
                <w:lang w:val="en-GB"/>
              </w:rPr>
            </w:pPr>
            <w:r>
              <w:rPr>
                <w:lang w:val="en-GB"/>
              </w:rPr>
              <w:t>#</w:t>
            </w:r>
          </w:p>
        </w:tc>
        <w:tc>
          <w:tcPr>
            <w:cnfStyle w:val="000010000000" w:firstRow="0" w:lastRow="0" w:firstColumn="0" w:lastColumn="0" w:oddVBand="1" w:evenVBand="0" w:oddHBand="0" w:evenHBand="0" w:firstRowFirstColumn="0" w:firstRowLastColumn="0" w:lastRowFirstColumn="0" w:lastRowLastColumn="0"/>
            <w:tcW w:w="4536" w:type="dxa"/>
          </w:tcPr>
          <w:p w:rsidR="00EB2357" w:rsidRDefault="00EB2357" w:rsidP="00C84EE9">
            <w:pPr>
              <w:rPr>
                <w:lang w:val="en-GB"/>
              </w:rPr>
            </w:pPr>
            <w:r>
              <w:rPr>
                <w:lang w:val="en-GB"/>
              </w:rPr>
              <w:t>Expected output</w:t>
            </w:r>
          </w:p>
        </w:tc>
        <w:tc>
          <w:tcPr>
            <w:tcW w:w="4394" w:type="dxa"/>
          </w:tcPr>
          <w:p w:rsidR="00EB2357" w:rsidRDefault="00EB2357" w:rsidP="00C84EE9">
            <w:pPr>
              <w:cnfStyle w:val="100000000000" w:firstRow="1" w:lastRow="0" w:firstColumn="0" w:lastColumn="0" w:oddVBand="0" w:evenVBand="0" w:oddHBand="0" w:evenHBand="0" w:firstRowFirstColumn="0" w:firstRowLastColumn="0" w:lastRowFirstColumn="0" w:lastRowLastColumn="0"/>
              <w:rPr>
                <w:lang w:val="en-GB"/>
              </w:rPr>
            </w:pPr>
            <w:r>
              <w:rPr>
                <w:lang w:val="en-GB"/>
              </w:rPr>
              <w:t>Description</w:t>
            </w:r>
          </w:p>
        </w:tc>
        <w:tc>
          <w:tcPr>
            <w:cnfStyle w:val="000010000000" w:firstRow="0" w:lastRow="0" w:firstColumn="0" w:lastColumn="0" w:oddVBand="1" w:evenVBand="0" w:oddHBand="0" w:evenHBand="0" w:firstRowFirstColumn="0" w:firstRowLastColumn="0" w:lastRowFirstColumn="0" w:lastRowLastColumn="0"/>
            <w:tcW w:w="4252" w:type="dxa"/>
          </w:tcPr>
          <w:p w:rsidR="00EB2357" w:rsidRDefault="00EB2357" w:rsidP="00C84EE9">
            <w:pPr>
              <w:rPr>
                <w:lang w:val="en-GB"/>
              </w:rPr>
            </w:pPr>
            <w:r>
              <w:rPr>
                <w:lang w:val="en-GB"/>
              </w:rPr>
              <w:t>Dataset</w:t>
            </w:r>
          </w:p>
        </w:tc>
      </w:tr>
      <w:tr w:rsidR="00EB2357" w:rsidRPr="009356A1" w:rsidTr="00C84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B2357" w:rsidRDefault="00EB2357" w:rsidP="00C84EE9">
            <w:pPr>
              <w:rPr>
                <w:lang w:val="en-GB"/>
              </w:rPr>
            </w:pPr>
            <w:r>
              <w:rPr>
                <w:lang w:val="en-GB"/>
              </w:rPr>
              <w:t>1</w:t>
            </w:r>
          </w:p>
        </w:tc>
        <w:tc>
          <w:tcPr>
            <w:cnfStyle w:val="000010000000" w:firstRow="0" w:lastRow="0" w:firstColumn="0" w:lastColumn="0" w:oddVBand="1" w:evenVBand="0" w:oddHBand="0" w:evenHBand="0" w:firstRowFirstColumn="0" w:firstRowLastColumn="0" w:lastRowFirstColumn="0" w:lastRowLastColumn="0"/>
            <w:tcW w:w="4536" w:type="dxa"/>
          </w:tcPr>
          <w:p w:rsidR="00EB2357" w:rsidRDefault="00EB2357" w:rsidP="00CA0090">
            <w:pPr>
              <w:jc w:val="left"/>
              <w:rPr>
                <w:lang w:val="en-GB"/>
              </w:rPr>
            </w:pPr>
            <w:r w:rsidRPr="004E77EC">
              <w:rPr>
                <w:lang w:val="en-GB"/>
              </w:rPr>
              <w:t>Description change and features of the typical days</w:t>
            </w:r>
          </w:p>
        </w:tc>
        <w:tc>
          <w:tcPr>
            <w:tcW w:w="4394" w:type="dxa"/>
          </w:tcPr>
          <w:p w:rsidR="00EB2357" w:rsidRPr="009B17DC" w:rsidRDefault="00EB2357" w:rsidP="00CA0090">
            <w:pPr>
              <w:jc w:val="left"/>
              <w:cnfStyle w:val="000000100000" w:firstRow="0" w:lastRow="0" w:firstColumn="0" w:lastColumn="0" w:oddVBand="0" w:evenVBand="0" w:oddHBand="1" w:evenHBand="0" w:firstRowFirstColumn="0" w:firstRowLastColumn="0" w:lastRowFirstColumn="0" w:lastRowLastColumn="0"/>
              <w:rPr>
                <w:lang w:val="en-GB"/>
              </w:rPr>
            </w:pPr>
            <w:r w:rsidRPr="009B17DC">
              <w:rPr>
                <w:lang w:val="en-GB"/>
              </w:rPr>
              <w:t>A qualitative description of the foreseen change, period and expected high-level impact resulting from this</w:t>
            </w:r>
          </w:p>
          <w:p w:rsidR="00EB2357" w:rsidRDefault="00EB2357" w:rsidP="00CA0090">
            <w:pPr>
              <w:jc w:val="left"/>
              <w:cnfStyle w:val="000000100000" w:firstRow="0" w:lastRow="0" w:firstColumn="0" w:lastColumn="0" w:oddVBand="0" w:evenVBand="0" w:oddHBand="1" w:evenHBand="0" w:firstRowFirstColumn="0" w:firstRowLastColumn="0" w:lastRowFirstColumn="0" w:lastRowLastColumn="0"/>
              <w:rPr>
                <w:lang w:val="en-GB"/>
              </w:rPr>
            </w:pPr>
            <w:r w:rsidRPr="009B17DC">
              <w:rPr>
                <w:lang w:val="en-GB"/>
              </w:rPr>
              <w:t>A description of the main quantitative features of the 12 typical days</w:t>
            </w:r>
          </w:p>
        </w:tc>
        <w:tc>
          <w:tcPr>
            <w:cnfStyle w:val="000010000000" w:firstRow="0" w:lastRow="0" w:firstColumn="0" w:lastColumn="0" w:oddVBand="1" w:evenVBand="0" w:oddHBand="0" w:evenHBand="0" w:firstRowFirstColumn="0" w:firstRowLastColumn="0" w:lastRowFirstColumn="0" w:lastRowLastColumn="0"/>
            <w:tcW w:w="4252" w:type="dxa"/>
          </w:tcPr>
          <w:p w:rsidR="00EB2357" w:rsidRPr="009B17DC" w:rsidRDefault="00EB2357" w:rsidP="00CA0090">
            <w:pPr>
              <w:pStyle w:val="Listenabsatz"/>
              <w:numPr>
                <w:ilvl w:val="0"/>
                <w:numId w:val="2"/>
              </w:numPr>
              <w:spacing w:line="240" w:lineRule="auto"/>
              <w:rPr>
                <w:lang w:val="en-GB"/>
              </w:rPr>
            </w:pPr>
            <w:r w:rsidRPr="009B17DC">
              <w:rPr>
                <w:lang w:val="en-GB"/>
              </w:rPr>
              <w:t>Foreseen change: Cover note</w:t>
            </w:r>
          </w:p>
          <w:p w:rsidR="00EB2357" w:rsidRPr="009B17DC" w:rsidRDefault="00EB2357" w:rsidP="00CA0090">
            <w:pPr>
              <w:pStyle w:val="Listenabsatz"/>
              <w:numPr>
                <w:ilvl w:val="0"/>
                <w:numId w:val="2"/>
              </w:numPr>
              <w:spacing w:line="240" w:lineRule="auto"/>
              <w:rPr>
                <w:lang w:val="en-GB"/>
              </w:rPr>
            </w:pPr>
            <w:r w:rsidRPr="009B17DC">
              <w:rPr>
                <w:lang w:val="en-GB"/>
              </w:rPr>
              <w:t>Description of the typical days: Dataset 5</w:t>
            </w:r>
          </w:p>
        </w:tc>
      </w:tr>
      <w:tr w:rsidR="00EB2357" w:rsidRPr="009B17DC" w:rsidTr="00C84EE9">
        <w:tc>
          <w:tcPr>
            <w:cnfStyle w:val="001000000000" w:firstRow="0" w:lastRow="0" w:firstColumn="1" w:lastColumn="0" w:oddVBand="0" w:evenVBand="0" w:oddHBand="0" w:evenHBand="0" w:firstRowFirstColumn="0" w:firstRowLastColumn="0" w:lastRowFirstColumn="0" w:lastRowLastColumn="0"/>
            <w:tcW w:w="534" w:type="dxa"/>
          </w:tcPr>
          <w:p w:rsidR="00EB2357" w:rsidRDefault="00EB2357" w:rsidP="00C84EE9">
            <w:pPr>
              <w:rPr>
                <w:lang w:val="en-GB"/>
              </w:rPr>
            </w:pPr>
            <w:r>
              <w:rPr>
                <w:lang w:val="en-GB"/>
              </w:rPr>
              <w:t>2a</w:t>
            </w:r>
          </w:p>
        </w:tc>
        <w:tc>
          <w:tcPr>
            <w:cnfStyle w:val="000010000000" w:firstRow="0" w:lastRow="0" w:firstColumn="0" w:lastColumn="0" w:oddVBand="1" w:evenVBand="0" w:oddHBand="0" w:evenHBand="0" w:firstRowFirstColumn="0" w:firstRowLastColumn="0" w:lastRowFirstColumn="0" w:lastRowLastColumn="0"/>
            <w:tcW w:w="4536" w:type="dxa"/>
          </w:tcPr>
          <w:p w:rsidR="00EB2357" w:rsidRPr="004E77EC" w:rsidRDefault="00EB2357" w:rsidP="00CA0090">
            <w:pPr>
              <w:jc w:val="left"/>
              <w:rPr>
                <w:lang w:val="en-GB"/>
              </w:rPr>
            </w:pPr>
            <w:r w:rsidRPr="004E77EC">
              <w:rPr>
                <w:lang w:val="en-GB"/>
              </w:rPr>
              <w:t>Capacity calculation indicators</w:t>
            </w:r>
            <w:r w:rsidR="00CA0090">
              <w:rPr>
                <w:lang w:val="en-GB"/>
              </w:rPr>
              <w:t xml:space="preserve"> - </w:t>
            </w:r>
            <w:r w:rsidRPr="004E77EC">
              <w:rPr>
                <w:lang w:val="en-GB"/>
              </w:rPr>
              <w:t>Dataset historical benchmark</w:t>
            </w:r>
          </w:p>
          <w:p w:rsidR="00EB2357" w:rsidRPr="004E77EC" w:rsidRDefault="00EB2357" w:rsidP="00CA0090">
            <w:pPr>
              <w:jc w:val="left"/>
              <w:rPr>
                <w:lang w:val="en-GB"/>
              </w:rPr>
            </w:pPr>
            <w:r w:rsidRPr="004E77EC">
              <w:rPr>
                <w:lang w:val="en-GB"/>
              </w:rPr>
              <w:t>• 24 PTDF matrixes + RAM for each typical day and for all fixed labels</w:t>
            </w:r>
          </w:p>
          <w:p w:rsidR="00EB2357" w:rsidRPr="00D36531" w:rsidRDefault="00EB2357" w:rsidP="00CA0090">
            <w:pPr>
              <w:jc w:val="left"/>
            </w:pPr>
            <w:r w:rsidRPr="00D36531">
              <w:t xml:space="preserve">• Min/max Net </w:t>
            </w:r>
            <w:proofErr w:type="spellStart"/>
            <w:r w:rsidRPr="00D36531">
              <w:t>positions</w:t>
            </w:r>
            <w:proofErr w:type="spellEnd"/>
          </w:p>
          <w:p w:rsidR="00EB2357" w:rsidRPr="00D36531" w:rsidRDefault="00EB2357" w:rsidP="00CA0090">
            <w:pPr>
              <w:jc w:val="left"/>
            </w:pPr>
            <w:r w:rsidRPr="00D36531">
              <w:t>• volume</w:t>
            </w:r>
          </w:p>
        </w:tc>
        <w:tc>
          <w:tcPr>
            <w:tcW w:w="4394" w:type="dxa"/>
          </w:tcPr>
          <w:p w:rsidR="00EB2357" w:rsidRDefault="00EB2357" w:rsidP="00CA0090">
            <w:pPr>
              <w:jc w:val="left"/>
              <w:cnfStyle w:val="000000000000" w:firstRow="0" w:lastRow="0" w:firstColumn="0" w:lastColumn="0" w:oddVBand="0" w:evenVBand="0" w:oddHBand="0" w:evenHBand="0" w:firstRowFirstColumn="0" w:firstRowLastColumn="0" w:lastRowFirstColumn="0" w:lastRowLastColumn="0"/>
              <w:rPr>
                <w:lang w:val="en-GB"/>
              </w:rPr>
            </w:pPr>
            <w:r w:rsidRPr="009B17DC">
              <w:rPr>
                <w:lang w:val="en-GB"/>
              </w:rPr>
              <w:t>This is the dataset that is used as a reference for the change that is subject of the change</w:t>
            </w:r>
          </w:p>
        </w:tc>
        <w:tc>
          <w:tcPr>
            <w:cnfStyle w:val="000010000000" w:firstRow="0" w:lastRow="0" w:firstColumn="0" w:lastColumn="0" w:oddVBand="1" w:evenVBand="0" w:oddHBand="0" w:evenHBand="0" w:firstRowFirstColumn="0" w:firstRowLastColumn="0" w:lastRowFirstColumn="0" w:lastRowLastColumn="0"/>
            <w:tcW w:w="4252" w:type="dxa"/>
          </w:tcPr>
          <w:p w:rsidR="00EB2357" w:rsidRPr="009B17DC" w:rsidRDefault="00EB2357" w:rsidP="00CA0090">
            <w:pPr>
              <w:pStyle w:val="Listenabsatz"/>
              <w:numPr>
                <w:ilvl w:val="0"/>
                <w:numId w:val="4"/>
              </w:numPr>
              <w:spacing w:line="240" w:lineRule="auto"/>
              <w:ind w:left="360"/>
              <w:rPr>
                <w:lang w:val="en-GB"/>
              </w:rPr>
            </w:pPr>
            <w:r w:rsidRPr="009B17DC">
              <w:rPr>
                <w:lang w:val="en-GB"/>
              </w:rPr>
              <w:t>PTDF matrices + RAM: Dataset 1 – Sheet “Historical Benchmark 2A”</w:t>
            </w:r>
          </w:p>
          <w:p w:rsidR="00EB2357" w:rsidRPr="009B17DC" w:rsidRDefault="00EB2357" w:rsidP="00CA0090">
            <w:pPr>
              <w:pStyle w:val="Listenabsatz"/>
              <w:numPr>
                <w:ilvl w:val="0"/>
                <w:numId w:val="4"/>
              </w:numPr>
              <w:spacing w:line="240" w:lineRule="auto"/>
              <w:ind w:left="360"/>
              <w:rPr>
                <w:lang w:val="en-GB"/>
              </w:rPr>
            </w:pPr>
            <w:r w:rsidRPr="009B17DC">
              <w:rPr>
                <w:lang w:val="en-GB"/>
              </w:rPr>
              <w:t>Min/Max NP: Dataset 2 – Sheet “Historical Benchmark 2A”</w:t>
            </w:r>
          </w:p>
          <w:p w:rsidR="00EB2357" w:rsidRPr="009B17DC" w:rsidRDefault="00EB2357" w:rsidP="00CA0090">
            <w:pPr>
              <w:pStyle w:val="Listenabsatz"/>
              <w:numPr>
                <w:ilvl w:val="0"/>
                <w:numId w:val="3"/>
              </w:numPr>
              <w:spacing w:line="240" w:lineRule="auto"/>
              <w:ind w:left="360"/>
              <w:rPr>
                <w:lang w:val="en-GB"/>
              </w:rPr>
            </w:pPr>
            <w:r w:rsidRPr="009B17DC">
              <w:rPr>
                <w:lang w:val="en-GB"/>
              </w:rPr>
              <w:t>Volume: Dataset 3</w:t>
            </w:r>
          </w:p>
        </w:tc>
      </w:tr>
      <w:tr w:rsidR="00EB2357" w:rsidRPr="009B17DC" w:rsidTr="00C84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EB2357" w:rsidRDefault="00EB2357" w:rsidP="00C84EE9">
            <w:pPr>
              <w:rPr>
                <w:lang w:val="en-GB"/>
              </w:rPr>
            </w:pPr>
            <w:r>
              <w:rPr>
                <w:lang w:val="en-GB"/>
              </w:rPr>
              <w:t>2b</w:t>
            </w:r>
          </w:p>
        </w:tc>
        <w:tc>
          <w:tcPr>
            <w:cnfStyle w:val="000010000000" w:firstRow="0" w:lastRow="0" w:firstColumn="0" w:lastColumn="0" w:oddVBand="1" w:evenVBand="0" w:oddHBand="0" w:evenHBand="0" w:firstRowFirstColumn="0" w:firstRowLastColumn="0" w:lastRowFirstColumn="0" w:lastRowLastColumn="0"/>
            <w:tcW w:w="4536" w:type="dxa"/>
          </w:tcPr>
          <w:p w:rsidR="00EB2357" w:rsidRPr="004E77EC" w:rsidRDefault="00EB2357" w:rsidP="00CA0090">
            <w:pPr>
              <w:jc w:val="left"/>
              <w:rPr>
                <w:lang w:val="en-GB"/>
              </w:rPr>
            </w:pPr>
            <w:r w:rsidRPr="004E77EC">
              <w:rPr>
                <w:lang w:val="en-GB"/>
              </w:rPr>
              <w:t>Capacity calculation indicators</w:t>
            </w:r>
            <w:r w:rsidR="00CA0090">
              <w:rPr>
                <w:lang w:val="en-GB"/>
              </w:rPr>
              <w:t xml:space="preserve"> - </w:t>
            </w:r>
            <w:r w:rsidRPr="004E77EC">
              <w:rPr>
                <w:lang w:val="en-GB"/>
              </w:rPr>
              <w:t>Dataset updated historical benchmark</w:t>
            </w:r>
          </w:p>
          <w:p w:rsidR="00EB2357" w:rsidRPr="004E77EC" w:rsidRDefault="00EB2357" w:rsidP="00CA0090">
            <w:pPr>
              <w:jc w:val="left"/>
              <w:rPr>
                <w:lang w:val="en-GB"/>
              </w:rPr>
            </w:pPr>
            <w:r w:rsidRPr="004E77EC">
              <w:rPr>
                <w:lang w:val="en-GB"/>
              </w:rPr>
              <w:t>• 24 PTDF matrixes + RAM for each typical day and for all fixed labels</w:t>
            </w:r>
          </w:p>
          <w:p w:rsidR="00EB2357" w:rsidRPr="00D36531" w:rsidRDefault="00EB2357" w:rsidP="00CA0090">
            <w:pPr>
              <w:jc w:val="left"/>
            </w:pPr>
            <w:r w:rsidRPr="00D36531">
              <w:t xml:space="preserve">• Min/max Net </w:t>
            </w:r>
            <w:proofErr w:type="spellStart"/>
            <w:r w:rsidRPr="00D36531">
              <w:t>positions</w:t>
            </w:r>
            <w:proofErr w:type="spellEnd"/>
          </w:p>
          <w:p w:rsidR="00EB2357" w:rsidRPr="00D36531" w:rsidRDefault="00EB2357" w:rsidP="00CA0090">
            <w:pPr>
              <w:jc w:val="left"/>
            </w:pPr>
            <w:r w:rsidRPr="00D36531">
              <w:t>• volume</w:t>
            </w:r>
          </w:p>
        </w:tc>
        <w:tc>
          <w:tcPr>
            <w:tcW w:w="4394" w:type="dxa"/>
          </w:tcPr>
          <w:p w:rsidR="00EB2357" w:rsidRDefault="00EB2357" w:rsidP="00CA0090">
            <w:pPr>
              <w:jc w:val="left"/>
              <w:cnfStyle w:val="000000100000" w:firstRow="0" w:lastRow="0" w:firstColumn="0" w:lastColumn="0" w:oddVBand="0" w:evenVBand="0" w:oddHBand="1" w:evenHBand="0" w:firstRowFirstColumn="0" w:firstRowLastColumn="0" w:lastRowFirstColumn="0" w:lastRowLastColumn="0"/>
              <w:rPr>
                <w:lang w:val="en-GB"/>
              </w:rPr>
            </w:pPr>
            <w:r w:rsidRPr="009B17DC">
              <w:rPr>
                <w:lang w:val="en-GB"/>
              </w:rPr>
              <w:t>This is the dataset that is updated, including all methodological changes that are known at the time of the study</w:t>
            </w:r>
          </w:p>
        </w:tc>
        <w:tc>
          <w:tcPr>
            <w:cnfStyle w:val="000010000000" w:firstRow="0" w:lastRow="0" w:firstColumn="0" w:lastColumn="0" w:oddVBand="1" w:evenVBand="0" w:oddHBand="0" w:evenHBand="0" w:firstRowFirstColumn="0" w:firstRowLastColumn="0" w:lastRowFirstColumn="0" w:lastRowLastColumn="0"/>
            <w:tcW w:w="4252" w:type="dxa"/>
          </w:tcPr>
          <w:p w:rsidR="00EB2357" w:rsidRPr="009B17DC" w:rsidRDefault="00EB2357" w:rsidP="00CA0090">
            <w:pPr>
              <w:pStyle w:val="Listenabsatz"/>
              <w:numPr>
                <w:ilvl w:val="0"/>
                <w:numId w:val="4"/>
              </w:numPr>
              <w:spacing w:line="240" w:lineRule="auto"/>
              <w:ind w:left="360"/>
              <w:rPr>
                <w:lang w:val="en-GB"/>
              </w:rPr>
            </w:pPr>
            <w:r w:rsidRPr="009B17DC">
              <w:rPr>
                <w:lang w:val="en-GB"/>
              </w:rPr>
              <w:t>PTDF matrices + RAM: Dataset 1 – Sheet “Updated Historical Benchmark 2B”</w:t>
            </w:r>
          </w:p>
          <w:p w:rsidR="00EB2357" w:rsidRPr="009B17DC" w:rsidRDefault="00EB2357" w:rsidP="00CA0090">
            <w:pPr>
              <w:pStyle w:val="Listenabsatz"/>
              <w:numPr>
                <w:ilvl w:val="0"/>
                <w:numId w:val="4"/>
              </w:numPr>
              <w:spacing w:line="240" w:lineRule="auto"/>
              <w:ind w:left="360"/>
              <w:rPr>
                <w:lang w:val="en-GB"/>
              </w:rPr>
            </w:pPr>
            <w:r w:rsidRPr="009B17DC">
              <w:rPr>
                <w:lang w:val="en-GB"/>
              </w:rPr>
              <w:t>Min/Max NP: Dataset 2 – Sheet “Updated Historical Benchmark 2B”</w:t>
            </w:r>
          </w:p>
          <w:p w:rsidR="00EB2357" w:rsidRPr="009B17DC" w:rsidRDefault="00EB2357" w:rsidP="00CA0090">
            <w:pPr>
              <w:pStyle w:val="Listenabsatz"/>
              <w:numPr>
                <w:ilvl w:val="0"/>
                <w:numId w:val="4"/>
              </w:numPr>
              <w:spacing w:line="240" w:lineRule="auto"/>
              <w:ind w:left="360"/>
              <w:rPr>
                <w:lang w:val="en-GB"/>
              </w:rPr>
            </w:pPr>
            <w:r>
              <w:rPr>
                <w:lang w:val="en-GB"/>
              </w:rPr>
              <w:t xml:space="preserve">FB Domain </w:t>
            </w:r>
            <w:r w:rsidRPr="009B17DC">
              <w:rPr>
                <w:lang w:val="en-GB"/>
              </w:rPr>
              <w:t>Volume: Dataset 3</w:t>
            </w:r>
          </w:p>
        </w:tc>
      </w:tr>
      <w:tr w:rsidR="00EB2357" w:rsidRPr="009B17DC" w:rsidTr="00C84EE9">
        <w:tc>
          <w:tcPr>
            <w:cnfStyle w:val="001000000000" w:firstRow="0" w:lastRow="0" w:firstColumn="1" w:lastColumn="0" w:oddVBand="0" w:evenVBand="0" w:oddHBand="0" w:evenHBand="0" w:firstRowFirstColumn="0" w:firstRowLastColumn="0" w:lastRowFirstColumn="0" w:lastRowLastColumn="0"/>
            <w:tcW w:w="534" w:type="dxa"/>
          </w:tcPr>
          <w:p w:rsidR="00EB2357" w:rsidRDefault="00EB2357" w:rsidP="00C84EE9">
            <w:pPr>
              <w:rPr>
                <w:lang w:val="en-GB"/>
              </w:rPr>
            </w:pPr>
            <w:r>
              <w:rPr>
                <w:lang w:val="en-GB"/>
              </w:rPr>
              <w:t>2c</w:t>
            </w:r>
          </w:p>
        </w:tc>
        <w:tc>
          <w:tcPr>
            <w:cnfStyle w:val="000010000000" w:firstRow="0" w:lastRow="0" w:firstColumn="0" w:lastColumn="0" w:oddVBand="1" w:evenVBand="0" w:oddHBand="0" w:evenHBand="0" w:firstRowFirstColumn="0" w:firstRowLastColumn="0" w:lastRowFirstColumn="0" w:lastRowLastColumn="0"/>
            <w:tcW w:w="4536" w:type="dxa"/>
          </w:tcPr>
          <w:p w:rsidR="00EB2357" w:rsidRPr="009B17DC" w:rsidRDefault="00EB2357" w:rsidP="00CA0090">
            <w:pPr>
              <w:jc w:val="left"/>
              <w:rPr>
                <w:lang w:val="en-GB"/>
              </w:rPr>
            </w:pPr>
            <w:r w:rsidRPr="009B17DC">
              <w:rPr>
                <w:lang w:val="en-GB"/>
              </w:rPr>
              <w:t>Capacity calculation indicators</w:t>
            </w:r>
            <w:r w:rsidR="00CA0090">
              <w:rPr>
                <w:lang w:val="en-GB"/>
              </w:rPr>
              <w:t xml:space="preserve"> - </w:t>
            </w:r>
            <w:r w:rsidRPr="009B17DC">
              <w:rPr>
                <w:lang w:val="en-GB"/>
              </w:rPr>
              <w:t>Dataset including change</w:t>
            </w:r>
          </w:p>
          <w:p w:rsidR="00EB2357" w:rsidRPr="009B17DC" w:rsidRDefault="00EB2357" w:rsidP="00CA0090">
            <w:pPr>
              <w:jc w:val="left"/>
              <w:rPr>
                <w:lang w:val="en-GB"/>
              </w:rPr>
            </w:pPr>
            <w:r w:rsidRPr="009B17DC">
              <w:rPr>
                <w:lang w:val="en-GB"/>
              </w:rPr>
              <w:t>• 24 PTDF matrixes + RAM for each typical day and for all fixed labels</w:t>
            </w:r>
          </w:p>
          <w:p w:rsidR="00EB2357" w:rsidRPr="00D36531" w:rsidRDefault="00EB2357" w:rsidP="00CA0090">
            <w:pPr>
              <w:jc w:val="left"/>
            </w:pPr>
            <w:r w:rsidRPr="00D36531">
              <w:t xml:space="preserve">• Min/max Net </w:t>
            </w:r>
            <w:proofErr w:type="spellStart"/>
            <w:r w:rsidRPr="00D36531">
              <w:t>positions</w:t>
            </w:r>
            <w:proofErr w:type="spellEnd"/>
          </w:p>
          <w:p w:rsidR="00EB2357" w:rsidRPr="00D36531" w:rsidRDefault="00EB2357" w:rsidP="00CA0090">
            <w:pPr>
              <w:jc w:val="left"/>
            </w:pPr>
            <w:r w:rsidRPr="00D36531">
              <w:t>• volume</w:t>
            </w:r>
          </w:p>
        </w:tc>
        <w:tc>
          <w:tcPr>
            <w:tcW w:w="4394" w:type="dxa"/>
          </w:tcPr>
          <w:p w:rsidR="00EB2357" w:rsidRDefault="00EB2357" w:rsidP="00CA0090">
            <w:pPr>
              <w:jc w:val="left"/>
              <w:cnfStyle w:val="000000000000" w:firstRow="0" w:lastRow="0" w:firstColumn="0" w:lastColumn="0" w:oddVBand="0" w:evenVBand="0" w:oddHBand="0" w:evenHBand="0" w:firstRowFirstColumn="0" w:firstRowLastColumn="0" w:lastRowFirstColumn="0" w:lastRowLastColumn="0"/>
              <w:rPr>
                <w:lang w:val="en-GB"/>
              </w:rPr>
            </w:pPr>
            <w:r w:rsidRPr="009B17DC">
              <w:rPr>
                <w:lang w:val="en-GB"/>
              </w:rPr>
              <w:t>This is the dataset that includes the change that is subject of the impact assessment</w:t>
            </w:r>
          </w:p>
        </w:tc>
        <w:tc>
          <w:tcPr>
            <w:cnfStyle w:val="000010000000" w:firstRow="0" w:lastRow="0" w:firstColumn="0" w:lastColumn="0" w:oddVBand="1" w:evenVBand="0" w:oddHBand="0" w:evenHBand="0" w:firstRowFirstColumn="0" w:firstRowLastColumn="0" w:lastRowFirstColumn="0" w:lastRowLastColumn="0"/>
            <w:tcW w:w="4252" w:type="dxa"/>
          </w:tcPr>
          <w:p w:rsidR="00EB2357" w:rsidRPr="009B17DC" w:rsidRDefault="00EB2357" w:rsidP="00CA0090">
            <w:pPr>
              <w:pStyle w:val="Listenabsatz"/>
              <w:numPr>
                <w:ilvl w:val="0"/>
                <w:numId w:val="5"/>
              </w:numPr>
              <w:spacing w:line="240" w:lineRule="auto"/>
              <w:rPr>
                <w:lang w:val="en-GB"/>
              </w:rPr>
            </w:pPr>
            <w:r w:rsidRPr="009B17DC">
              <w:rPr>
                <w:lang w:val="en-GB"/>
              </w:rPr>
              <w:t>PTDF matrices + RAM: Dataset 1 – Sheet “SPAIC 2C”</w:t>
            </w:r>
          </w:p>
          <w:p w:rsidR="00EB2357" w:rsidRPr="009B17DC" w:rsidRDefault="00EB2357" w:rsidP="00CA0090">
            <w:pPr>
              <w:pStyle w:val="Listenabsatz"/>
              <w:numPr>
                <w:ilvl w:val="0"/>
                <w:numId w:val="5"/>
              </w:numPr>
              <w:spacing w:line="240" w:lineRule="auto"/>
              <w:rPr>
                <w:lang w:val="en-GB"/>
              </w:rPr>
            </w:pPr>
            <w:r w:rsidRPr="009B17DC">
              <w:rPr>
                <w:lang w:val="en-GB"/>
              </w:rPr>
              <w:t>Min/Max NP: Dataset 2 – Sheet “SPAIC 2C”</w:t>
            </w:r>
          </w:p>
          <w:p w:rsidR="00EB2357" w:rsidRPr="009B17DC" w:rsidRDefault="00EB2357" w:rsidP="00CA0090">
            <w:pPr>
              <w:pStyle w:val="Listenabsatz"/>
              <w:numPr>
                <w:ilvl w:val="0"/>
                <w:numId w:val="5"/>
              </w:numPr>
              <w:spacing w:line="240" w:lineRule="auto"/>
              <w:rPr>
                <w:lang w:val="en-GB"/>
              </w:rPr>
            </w:pPr>
            <w:r>
              <w:rPr>
                <w:lang w:val="en-GB"/>
              </w:rPr>
              <w:t xml:space="preserve">FB Domain </w:t>
            </w:r>
            <w:r w:rsidRPr="009B17DC">
              <w:rPr>
                <w:lang w:val="en-GB"/>
              </w:rPr>
              <w:t>Volume: Dataset 3</w:t>
            </w:r>
          </w:p>
        </w:tc>
      </w:tr>
    </w:tbl>
    <w:p w:rsidR="00EB2357" w:rsidRDefault="00EB2357" w:rsidP="00EB2357">
      <w:pPr>
        <w:rPr>
          <w:lang w:val="en-GB"/>
        </w:rPr>
      </w:pPr>
    </w:p>
    <w:p w:rsidR="00CA0090" w:rsidRDefault="00CA0090" w:rsidP="00EB2357">
      <w:pPr>
        <w:rPr>
          <w:lang w:val="en-GB"/>
        </w:rPr>
      </w:pPr>
    </w:p>
    <w:p w:rsidR="00CA0090" w:rsidRDefault="00CA0090" w:rsidP="00EB2357">
      <w:pPr>
        <w:rPr>
          <w:lang w:val="en-GB"/>
        </w:rPr>
      </w:pPr>
    </w:p>
    <w:p w:rsidR="00CA0090" w:rsidRDefault="00CA0090" w:rsidP="00EB2357">
      <w:pPr>
        <w:rPr>
          <w:lang w:val="en-GB"/>
        </w:rPr>
      </w:pPr>
    </w:p>
    <w:p w:rsidR="00CA0090" w:rsidRDefault="00CA0090" w:rsidP="00EB2357">
      <w:pPr>
        <w:rPr>
          <w:lang w:val="en-GB"/>
        </w:rPr>
      </w:pPr>
    </w:p>
    <w:p w:rsidR="00CA0090" w:rsidRDefault="00CA0090" w:rsidP="00EB2357">
      <w:pPr>
        <w:rPr>
          <w:lang w:val="en-GB"/>
        </w:rPr>
      </w:pPr>
    </w:p>
    <w:p w:rsidR="00CA0090" w:rsidRDefault="00CA0090" w:rsidP="00EB2357">
      <w:pPr>
        <w:rPr>
          <w:lang w:val="en-GB"/>
        </w:rPr>
      </w:pPr>
    </w:p>
    <w:p w:rsidR="00CA0090" w:rsidRDefault="00CA0090" w:rsidP="00EB2357">
      <w:pPr>
        <w:rPr>
          <w:lang w:val="en-GB"/>
        </w:rPr>
      </w:pPr>
    </w:p>
    <w:tbl>
      <w:tblPr>
        <w:tblStyle w:val="HelleListe-Akzent1"/>
        <w:tblW w:w="0" w:type="auto"/>
        <w:tblLook w:val="00A0" w:firstRow="1" w:lastRow="0" w:firstColumn="1" w:lastColumn="0" w:noHBand="0" w:noVBand="0"/>
      </w:tblPr>
      <w:tblGrid>
        <w:gridCol w:w="484"/>
        <w:gridCol w:w="2557"/>
        <w:gridCol w:w="3579"/>
        <w:gridCol w:w="2668"/>
      </w:tblGrid>
      <w:tr w:rsidR="00CA0090" w:rsidTr="00CA0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4" w:type="dxa"/>
          </w:tcPr>
          <w:p w:rsidR="00CA0090" w:rsidRDefault="00CA0090" w:rsidP="00C84EE9">
            <w:pPr>
              <w:rPr>
                <w:lang w:val="en-GB"/>
              </w:rPr>
            </w:pPr>
            <w:r>
              <w:rPr>
                <w:lang w:val="en-GB"/>
              </w:rPr>
              <w:lastRenderedPageBreak/>
              <w:t>#</w:t>
            </w:r>
          </w:p>
        </w:tc>
        <w:tc>
          <w:tcPr>
            <w:cnfStyle w:val="000010000000" w:firstRow="0" w:lastRow="0" w:firstColumn="0" w:lastColumn="0" w:oddVBand="1" w:evenVBand="0" w:oddHBand="0" w:evenHBand="0" w:firstRowFirstColumn="0" w:firstRowLastColumn="0" w:lastRowFirstColumn="0" w:lastRowLastColumn="0"/>
            <w:tcW w:w="2557" w:type="dxa"/>
          </w:tcPr>
          <w:p w:rsidR="00CA0090" w:rsidRDefault="00CA0090" w:rsidP="00C84EE9">
            <w:pPr>
              <w:rPr>
                <w:lang w:val="en-GB"/>
              </w:rPr>
            </w:pPr>
            <w:r>
              <w:rPr>
                <w:lang w:val="en-GB"/>
              </w:rPr>
              <w:t>Expected output</w:t>
            </w:r>
          </w:p>
        </w:tc>
        <w:tc>
          <w:tcPr>
            <w:tcW w:w="3579" w:type="dxa"/>
          </w:tcPr>
          <w:p w:rsidR="00CA0090" w:rsidRDefault="00CA0090" w:rsidP="00C84EE9">
            <w:pPr>
              <w:cnfStyle w:val="100000000000" w:firstRow="1" w:lastRow="0" w:firstColumn="0" w:lastColumn="0" w:oddVBand="0" w:evenVBand="0" w:oddHBand="0" w:evenHBand="0" w:firstRowFirstColumn="0" w:firstRowLastColumn="0" w:lastRowFirstColumn="0" w:lastRowLastColumn="0"/>
              <w:rPr>
                <w:lang w:val="en-GB"/>
              </w:rPr>
            </w:pPr>
            <w:r>
              <w:rPr>
                <w:lang w:val="en-GB"/>
              </w:rPr>
              <w:t>Description</w:t>
            </w:r>
          </w:p>
        </w:tc>
        <w:tc>
          <w:tcPr>
            <w:cnfStyle w:val="000010000000" w:firstRow="0" w:lastRow="0" w:firstColumn="0" w:lastColumn="0" w:oddVBand="1" w:evenVBand="0" w:oddHBand="0" w:evenHBand="0" w:firstRowFirstColumn="0" w:firstRowLastColumn="0" w:lastRowFirstColumn="0" w:lastRowLastColumn="0"/>
            <w:tcW w:w="2668" w:type="dxa"/>
          </w:tcPr>
          <w:p w:rsidR="00CA0090" w:rsidRDefault="00CA0090" w:rsidP="00C84EE9">
            <w:pPr>
              <w:rPr>
                <w:lang w:val="en-GB"/>
              </w:rPr>
            </w:pPr>
            <w:r>
              <w:rPr>
                <w:lang w:val="en-GB"/>
              </w:rPr>
              <w:t>Dataset</w:t>
            </w:r>
          </w:p>
        </w:tc>
      </w:tr>
      <w:tr w:rsidR="00CA0090" w:rsidRPr="009356A1" w:rsidTr="00CA0090">
        <w:trPr>
          <w:cnfStyle w:val="000000100000" w:firstRow="0" w:lastRow="0" w:firstColumn="0" w:lastColumn="0" w:oddVBand="0" w:evenVBand="0" w:oddHBand="1" w:evenHBand="0" w:firstRowFirstColumn="0" w:firstRowLastColumn="0" w:lastRowFirstColumn="0" w:lastRowLastColumn="0"/>
          <w:trHeight w:val="1526"/>
        </w:trPr>
        <w:tc>
          <w:tcPr>
            <w:cnfStyle w:val="001000000000" w:firstRow="0" w:lastRow="0" w:firstColumn="1" w:lastColumn="0" w:oddVBand="0" w:evenVBand="0" w:oddHBand="0" w:evenHBand="0" w:firstRowFirstColumn="0" w:firstRowLastColumn="0" w:lastRowFirstColumn="0" w:lastRowLastColumn="0"/>
            <w:tcW w:w="484" w:type="dxa"/>
          </w:tcPr>
          <w:p w:rsidR="00CA0090" w:rsidRDefault="00CA0090" w:rsidP="00C84EE9">
            <w:pPr>
              <w:rPr>
                <w:lang w:val="en-GB"/>
              </w:rPr>
            </w:pPr>
            <w:r>
              <w:rPr>
                <w:lang w:val="en-GB"/>
              </w:rPr>
              <w:t>3a</w:t>
            </w:r>
          </w:p>
        </w:tc>
        <w:tc>
          <w:tcPr>
            <w:cnfStyle w:val="000010000000" w:firstRow="0" w:lastRow="0" w:firstColumn="0" w:lastColumn="0" w:oddVBand="1" w:evenVBand="0" w:oddHBand="0" w:evenHBand="0" w:firstRowFirstColumn="0" w:firstRowLastColumn="0" w:lastRowFirstColumn="0" w:lastRowLastColumn="0"/>
            <w:tcW w:w="2557" w:type="dxa"/>
          </w:tcPr>
          <w:p w:rsidR="00CA0090" w:rsidRDefault="00CA0090" w:rsidP="00CA0090">
            <w:pPr>
              <w:jc w:val="left"/>
              <w:rPr>
                <w:lang w:val="en-GB"/>
              </w:rPr>
            </w:pPr>
            <w:r w:rsidRPr="009B17DC">
              <w:rPr>
                <w:lang w:val="en-GB"/>
              </w:rPr>
              <w:t>Market simulation indicators for the dataset historical data</w:t>
            </w:r>
          </w:p>
        </w:tc>
        <w:tc>
          <w:tcPr>
            <w:tcW w:w="3579" w:type="dxa"/>
            <w:vMerge w:val="restart"/>
          </w:tcPr>
          <w:p w:rsidR="00CA0090" w:rsidRPr="009B17DC" w:rsidRDefault="00CA0090" w:rsidP="00CA0090">
            <w:pPr>
              <w:jc w:val="left"/>
              <w:cnfStyle w:val="000000100000" w:firstRow="0" w:lastRow="0" w:firstColumn="0" w:lastColumn="0" w:oddVBand="0" w:evenVBand="0" w:oddHBand="1" w:evenHBand="0" w:firstRowFirstColumn="0" w:firstRowLastColumn="0" w:lastRowFirstColumn="0" w:lastRowLastColumn="0"/>
              <w:rPr>
                <w:lang w:val="en-GB"/>
              </w:rPr>
            </w:pPr>
            <w:r w:rsidRPr="009B17DC">
              <w:rPr>
                <w:lang w:val="en-GB"/>
              </w:rPr>
              <w:t xml:space="preserve">After the capacity calculation is performed, also </w:t>
            </w:r>
            <w:r>
              <w:rPr>
                <w:lang w:val="en-GB"/>
              </w:rPr>
              <w:t xml:space="preserve">Market Coupling </w:t>
            </w:r>
            <w:r w:rsidRPr="009B17DC">
              <w:rPr>
                <w:lang w:val="en-GB"/>
              </w:rPr>
              <w:t xml:space="preserve">simulations </w:t>
            </w:r>
            <w:r>
              <w:rPr>
                <w:lang w:val="en-GB"/>
              </w:rPr>
              <w:t>have</w:t>
            </w:r>
            <w:r w:rsidRPr="009B17DC">
              <w:rPr>
                <w:lang w:val="en-GB"/>
              </w:rPr>
              <w:t xml:space="preserve"> be</w:t>
            </w:r>
            <w:r>
              <w:rPr>
                <w:lang w:val="en-GB"/>
              </w:rPr>
              <w:t>en</w:t>
            </w:r>
            <w:r w:rsidRPr="009B17DC">
              <w:rPr>
                <w:lang w:val="en-GB"/>
              </w:rPr>
              <w:t xml:space="preserve"> performed to </w:t>
            </w:r>
            <w:r>
              <w:rPr>
                <w:lang w:val="en-GB"/>
              </w:rPr>
              <w:t>get</w:t>
            </w:r>
            <w:r w:rsidRPr="009B17DC">
              <w:rPr>
                <w:lang w:val="en-GB"/>
              </w:rPr>
              <w:t xml:space="preserve"> insight in impact on </w:t>
            </w:r>
            <w:r>
              <w:rPr>
                <w:lang w:val="en-GB"/>
              </w:rPr>
              <w:t>the following market indicators</w:t>
            </w:r>
          </w:p>
          <w:p w:rsidR="00CA0090" w:rsidRDefault="00CA0090" w:rsidP="00CA0090">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D55E21">
              <w:rPr>
                <w:lang w:val="en-GB"/>
              </w:rPr>
              <w:t>Market price</w:t>
            </w:r>
            <w:r>
              <w:rPr>
                <w:lang w:val="en-GB"/>
              </w:rPr>
              <w:t>s</w:t>
            </w:r>
          </w:p>
          <w:p w:rsidR="00CA0090" w:rsidRDefault="00CA0090" w:rsidP="00CA0090">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Market Spreads and Price Convergence</w:t>
            </w:r>
          </w:p>
          <w:p w:rsidR="00CA0090" w:rsidRPr="009B17DC" w:rsidRDefault="00CA0090" w:rsidP="00CA0090">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9B17DC">
              <w:rPr>
                <w:lang w:val="en-GB"/>
              </w:rPr>
              <w:t>Market clearing volumes (</w:t>
            </w:r>
            <w:r>
              <w:rPr>
                <w:lang w:val="en-GB"/>
              </w:rPr>
              <w:t>M</w:t>
            </w:r>
            <w:r w:rsidRPr="009B17DC">
              <w:rPr>
                <w:lang w:val="en-GB"/>
              </w:rPr>
              <w:t xml:space="preserve">ax executed </w:t>
            </w:r>
            <w:r>
              <w:rPr>
                <w:lang w:val="en-GB"/>
              </w:rPr>
              <w:t>S</w:t>
            </w:r>
            <w:r w:rsidRPr="009B17DC">
              <w:rPr>
                <w:lang w:val="en-GB"/>
              </w:rPr>
              <w:t>upply</w:t>
            </w:r>
            <w:r>
              <w:rPr>
                <w:lang w:val="en-GB"/>
              </w:rPr>
              <w:t xml:space="preserve"> and</w:t>
            </w:r>
            <w:r w:rsidRPr="009B17DC">
              <w:rPr>
                <w:lang w:val="en-GB"/>
              </w:rPr>
              <w:t xml:space="preserve"> Demand)</w:t>
            </w:r>
          </w:p>
          <w:p w:rsidR="00CA0090" w:rsidRPr="009B17DC" w:rsidRDefault="00CA0090" w:rsidP="00CA0090">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9B17DC">
              <w:rPr>
                <w:lang w:val="en-GB"/>
              </w:rPr>
              <w:t>Net positions</w:t>
            </w:r>
            <w:r>
              <w:rPr>
                <w:lang w:val="en-GB"/>
              </w:rPr>
              <w:t xml:space="preserve"> (MRC Net Position and balanced CWE Net </w:t>
            </w:r>
            <w:proofErr w:type="spellStart"/>
            <w:r>
              <w:rPr>
                <w:lang w:val="en-GB"/>
              </w:rPr>
              <w:t>Postion</w:t>
            </w:r>
            <w:proofErr w:type="spellEnd"/>
            <w:r>
              <w:rPr>
                <w:lang w:val="en-GB"/>
              </w:rPr>
              <w:t>)</w:t>
            </w:r>
          </w:p>
          <w:p w:rsidR="00CA0090" w:rsidRDefault="00CA0090" w:rsidP="00CA0090">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Social </w:t>
            </w:r>
            <w:r w:rsidRPr="009B17DC">
              <w:rPr>
                <w:lang w:val="en-GB"/>
              </w:rPr>
              <w:t>Welfare</w:t>
            </w:r>
            <w:r>
              <w:rPr>
                <w:lang w:val="en-GB"/>
              </w:rPr>
              <w:t xml:space="preserve"> </w:t>
            </w:r>
          </w:p>
          <w:p w:rsidR="00CA0090" w:rsidRDefault="00CA0090" w:rsidP="00CA0090">
            <w:pPr>
              <w:pStyle w:val="Listenabsatz"/>
              <w:numPr>
                <w:ilvl w:val="1"/>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Consumer Surplus, Producer Surplus per BZ and for CWE in total</w:t>
            </w:r>
          </w:p>
          <w:p w:rsidR="00CA0090" w:rsidRDefault="00CA0090" w:rsidP="00CA0090">
            <w:pPr>
              <w:pStyle w:val="Listenabsatz"/>
              <w:numPr>
                <w:ilvl w:val="1"/>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Congestion Income for CWE</w:t>
            </w:r>
          </w:p>
          <w:p w:rsidR="00CA0090" w:rsidRDefault="00CA0090" w:rsidP="00CA0090">
            <w:pPr>
              <w:pStyle w:val="Listenabsatz"/>
              <w:numPr>
                <w:ilvl w:val="1"/>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Total Social Welfare for whole CWE and whole MRC region</w:t>
            </w:r>
          </w:p>
          <w:p w:rsidR="00CA0090" w:rsidRPr="007D5466" w:rsidRDefault="00CA0090" w:rsidP="00CA0090">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7D5466">
              <w:rPr>
                <w:lang w:val="en-GB"/>
              </w:rPr>
              <w:t>PRBs indicators (number of PRBs, magnitude of delta P)</w:t>
            </w:r>
          </w:p>
          <w:p w:rsidR="00CA0090" w:rsidRPr="009B17DC" w:rsidRDefault="00CA0090" w:rsidP="00CA0090">
            <w:pPr>
              <w:pStyle w:val="Listenabsatz"/>
              <w:numPr>
                <w:ilvl w:val="0"/>
                <w:numId w:val="5"/>
              </w:numPr>
              <w:spacing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Number of Euphemia solutions found</w:t>
            </w:r>
          </w:p>
        </w:tc>
        <w:tc>
          <w:tcPr>
            <w:cnfStyle w:val="000010000000" w:firstRow="0" w:lastRow="0" w:firstColumn="0" w:lastColumn="0" w:oddVBand="1" w:evenVBand="0" w:oddHBand="0" w:evenHBand="0" w:firstRowFirstColumn="0" w:firstRowLastColumn="0" w:lastRowFirstColumn="0" w:lastRowLastColumn="0"/>
            <w:tcW w:w="2668" w:type="dxa"/>
            <w:vMerge w:val="restart"/>
          </w:tcPr>
          <w:p w:rsidR="00CA0090" w:rsidRPr="009B17DC" w:rsidRDefault="00CA0090" w:rsidP="00CA0090">
            <w:pPr>
              <w:jc w:val="left"/>
              <w:rPr>
                <w:lang w:val="en-GB"/>
              </w:rPr>
            </w:pPr>
            <w:r w:rsidRPr="009B17DC">
              <w:rPr>
                <w:lang w:val="en-GB"/>
              </w:rPr>
              <w:t xml:space="preserve">All information can be found in Dataset 4. Column A indicates whether the data refers to </w:t>
            </w:r>
            <w:r>
              <w:rPr>
                <w:lang w:val="en-GB"/>
              </w:rPr>
              <w:t xml:space="preserve">scenario </w:t>
            </w:r>
            <w:r w:rsidRPr="009B17DC">
              <w:rPr>
                <w:lang w:val="en-GB"/>
              </w:rPr>
              <w:t>#3</w:t>
            </w:r>
            <w:r>
              <w:rPr>
                <w:lang w:val="en-GB"/>
              </w:rPr>
              <w:t>a, 3b or 3c</w:t>
            </w:r>
          </w:p>
          <w:p w:rsidR="00CA0090" w:rsidRPr="009B17DC" w:rsidRDefault="00CA0090" w:rsidP="00CA0090">
            <w:pPr>
              <w:pStyle w:val="Listenabsatz"/>
              <w:numPr>
                <w:ilvl w:val="0"/>
                <w:numId w:val="5"/>
              </w:numPr>
              <w:spacing w:line="240" w:lineRule="auto"/>
              <w:rPr>
                <w:lang w:val="en-GB"/>
              </w:rPr>
            </w:pPr>
            <w:r>
              <w:rPr>
                <w:lang w:val="en-GB"/>
              </w:rPr>
              <w:t xml:space="preserve">MRC Net Position, CWE Net Position and Market </w:t>
            </w:r>
            <w:r w:rsidRPr="009B17DC">
              <w:rPr>
                <w:lang w:val="en-GB"/>
              </w:rPr>
              <w:t>price: Sheet “</w:t>
            </w:r>
            <w:r>
              <w:rPr>
                <w:lang w:val="en-GB"/>
              </w:rPr>
              <w:t>MRC NP, CWE NP, P</w:t>
            </w:r>
            <w:r w:rsidRPr="009B17DC">
              <w:rPr>
                <w:lang w:val="en-GB"/>
              </w:rPr>
              <w:t>”</w:t>
            </w:r>
          </w:p>
          <w:p w:rsidR="00CA0090" w:rsidRPr="009B17DC" w:rsidRDefault="00CA0090" w:rsidP="00CA0090">
            <w:pPr>
              <w:pStyle w:val="Listenabsatz"/>
              <w:numPr>
                <w:ilvl w:val="0"/>
                <w:numId w:val="5"/>
              </w:numPr>
              <w:spacing w:line="240" w:lineRule="auto"/>
              <w:rPr>
                <w:lang w:val="en-GB"/>
              </w:rPr>
            </w:pPr>
            <w:r>
              <w:rPr>
                <w:lang w:val="en-GB"/>
              </w:rPr>
              <w:t>P</w:t>
            </w:r>
            <w:r w:rsidRPr="009B17DC">
              <w:rPr>
                <w:lang w:val="en-GB"/>
              </w:rPr>
              <w:t>rice spreads</w:t>
            </w:r>
            <w:r>
              <w:rPr>
                <w:lang w:val="en-GB"/>
              </w:rPr>
              <w:t xml:space="preserve"> and Price Convergence</w:t>
            </w:r>
            <w:r w:rsidRPr="009B17DC">
              <w:rPr>
                <w:lang w:val="en-GB"/>
              </w:rPr>
              <w:t>: Sheet “</w:t>
            </w:r>
            <w:proofErr w:type="spellStart"/>
            <w:r w:rsidRPr="009B17DC">
              <w:rPr>
                <w:lang w:val="en-GB"/>
              </w:rPr>
              <w:t>MarketSpread</w:t>
            </w:r>
            <w:proofErr w:type="spellEnd"/>
            <w:r>
              <w:rPr>
                <w:lang w:val="en-GB"/>
              </w:rPr>
              <w:t>, convergence</w:t>
            </w:r>
            <w:r w:rsidRPr="009B17DC">
              <w:rPr>
                <w:lang w:val="en-GB"/>
              </w:rPr>
              <w:t>”</w:t>
            </w:r>
          </w:p>
          <w:p w:rsidR="00CA0090" w:rsidRPr="009B17DC" w:rsidRDefault="00CA0090" w:rsidP="00CA0090">
            <w:pPr>
              <w:pStyle w:val="Listenabsatz"/>
              <w:numPr>
                <w:ilvl w:val="0"/>
                <w:numId w:val="5"/>
              </w:numPr>
              <w:spacing w:line="240" w:lineRule="auto"/>
              <w:rPr>
                <w:lang w:val="en-GB"/>
              </w:rPr>
            </w:pPr>
            <w:r w:rsidRPr="009B17DC">
              <w:rPr>
                <w:lang w:val="en-GB"/>
              </w:rPr>
              <w:t xml:space="preserve">Market </w:t>
            </w:r>
            <w:r>
              <w:rPr>
                <w:lang w:val="en-GB"/>
              </w:rPr>
              <w:t>clearing volumes (max executed S</w:t>
            </w:r>
            <w:r w:rsidRPr="009B17DC">
              <w:rPr>
                <w:lang w:val="en-GB"/>
              </w:rPr>
              <w:t>upply</w:t>
            </w:r>
            <w:r>
              <w:rPr>
                <w:lang w:val="en-GB"/>
              </w:rPr>
              <w:t xml:space="preserve"> and Demand</w:t>
            </w:r>
            <w:r w:rsidRPr="009B17DC">
              <w:rPr>
                <w:lang w:val="en-GB"/>
              </w:rPr>
              <w:t>): Sheet “</w:t>
            </w:r>
            <w:r>
              <w:rPr>
                <w:lang w:val="en-GB"/>
              </w:rPr>
              <w:t xml:space="preserve">Market </w:t>
            </w:r>
            <w:r w:rsidRPr="009B17DC">
              <w:rPr>
                <w:lang w:val="en-GB"/>
              </w:rPr>
              <w:t>Volumes”</w:t>
            </w:r>
          </w:p>
          <w:p w:rsidR="00CA0090" w:rsidRPr="009B17DC" w:rsidRDefault="00CA0090" w:rsidP="00CA0090">
            <w:pPr>
              <w:pStyle w:val="Listenabsatz"/>
              <w:numPr>
                <w:ilvl w:val="0"/>
                <w:numId w:val="5"/>
              </w:numPr>
              <w:spacing w:line="240" w:lineRule="auto"/>
              <w:rPr>
                <w:lang w:val="en-GB"/>
              </w:rPr>
            </w:pPr>
            <w:r>
              <w:rPr>
                <w:lang w:val="en-GB"/>
              </w:rPr>
              <w:t xml:space="preserve">Total CWE Social Welfare, MRC Social Welfare, </w:t>
            </w:r>
            <w:r w:rsidRPr="009B17DC">
              <w:rPr>
                <w:lang w:val="en-GB"/>
              </w:rPr>
              <w:t>PRB indicators (number of PRBs, magnitude of delta P)</w:t>
            </w:r>
            <w:r>
              <w:rPr>
                <w:lang w:val="en-GB"/>
              </w:rPr>
              <w:t>, Euphemia Solution found</w:t>
            </w:r>
            <w:r w:rsidRPr="009B17DC">
              <w:rPr>
                <w:lang w:val="en-GB"/>
              </w:rPr>
              <w:t>: Sheet “</w:t>
            </w:r>
            <w:r>
              <w:rPr>
                <w:lang w:val="en-GB"/>
              </w:rPr>
              <w:t xml:space="preserve">CWE SW, MRC SW, PRBs, </w:t>
            </w:r>
            <w:proofErr w:type="spellStart"/>
            <w:r>
              <w:rPr>
                <w:lang w:val="en-GB"/>
              </w:rPr>
              <w:t>EuphemiaS</w:t>
            </w:r>
            <w:proofErr w:type="spellEnd"/>
            <w:r w:rsidRPr="009B17DC">
              <w:rPr>
                <w:lang w:val="en-GB"/>
              </w:rPr>
              <w:t>”</w:t>
            </w:r>
          </w:p>
          <w:p w:rsidR="00CA0090" w:rsidRPr="009B17DC" w:rsidRDefault="00CA0090" w:rsidP="00CA0090">
            <w:pPr>
              <w:pStyle w:val="Listenabsatz"/>
              <w:numPr>
                <w:ilvl w:val="0"/>
                <w:numId w:val="5"/>
              </w:numPr>
              <w:spacing w:line="240" w:lineRule="auto"/>
              <w:rPr>
                <w:lang w:val="en-GB"/>
              </w:rPr>
            </w:pPr>
            <w:r>
              <w:rPr>
                <w:lang w:val="en-GB"/>
              </w:rPr>
              <w:t xml:space="preserve">Consumer Surplus, Producer Surplus, CWE Congestion Income: </w:t>
            </w:r>
            <w:r w:rsidRPr="009B17DC">
              <w:rPr>
                <w:lang w:val="en-GB"/>
              </w:rPr>
              <w:t>Sheet “Social Welfare”</w:t>
            </w:r>
          </w:p>
        </w:tc>
      </w:tr>
      <w:tr w:rsidR="00CA0090" w:rsidRPr="009356A1" w:rsidTr="00CA0090">
        <w:trPr>
          <w:trHeight w:val="1527"/>
        </w:trPr>
        <w:tc>
          <w:tcPr>
            <w:cnfStyle w:val="001000000000" w:firstRow="0" w:lastRow="0" w:firstColumn="1" w:lastColumn="0" w:oddVBand="0" w:evenVBand="0" w:oddHBand="0" w:evenHBand="0" w:firstRowFirstColumn="0" w:firstRowLastColumn="0" w:lastRowFirstColumn="0" w:lastRowLastColumn="0"/>
            <w:tcW w:w="484" w:type="dxa"/>
          </w:tcPr>
          <w:p w:rsidR="00CA0090" w:rsidRDefault="00CA0090" w:rsidP="00C84EE9">
            <w:pPr>
              <w:rPr>
                <w:lang w:val="en-GB"/>
              </w:rPr>
            </w:pPr>
            <w:r>
              <w:rPr>
                <w:lang w:val="en-GB"/>
              </w:rPr>
              <w:t>3b</w:t>
            </w:r>
          </w:p>
        </w:tc>
        <w:tc>
          <w:tcPr>
            <w:cnfStyle w:val="000010000000" w:firstRow="0" w:lastRow="0" w:firstColumn="0" w:lastColumn="0" w:oddVBand="1" w:evenVBand="0" w:oddHBand="0" w:evenHBand="0" w:firstRowFirstColumn="0" w:firstRowLastColumn="0" w:lastRowFirstColumn="0" w:lastRowLastColumn="0"/>
            <w:tcW w:w="2557" w:type="dxa"/>
          </w:tcPr>
          <w:p w:rsidR="00CA0090" w:rsidRPr="009B17DC" w:rsidRDefault="00CA0090" w:rsidP="00CA0090">
            <w:pPr>
              <w:jc w:val="left"/>
              <w:rPr>
                <w:lang w:val="en-GB"/>
              </w:rPr>
            </w:pPr>
            <w:r w:rsidRPr="00D045E1">
              <w:rPr>
                <w:lang w:val="en-GB"/>
              </w:rPr>
              <w:t>Market simulation indicators for the data</w:t>
            </w:r>
            <w:r>
              <w:rPr>
                <w:lang w:val="en-GB"/>
              </w:rPr>
              <w:t>set</w:t>
            </w:r>
            <w:r w:rsidRPr="00D045E1">
              <w:rPr>
                <w:lang w:val="en-GB"/>
              </w:rPr>
              <w:t xml:space="preserve"> for the updated historical benchmark</w:t>
            </w:r>
          </w:p>
        </w:tc>
        <w:tc>
          <w:tcPr>
            <w:tcW w:w="3579" w:type="dxa"/>
            <w:vMerge/>
          </w:tcPr>
          <w:p w:rsidR="00CA0090" w:rsidRDefault="00CA0090" w:rsidP="00C84EE9">
            <w:pPr>
              <w:cnfStyle w:val="000000000000" w:firstRow="0" w:lastRow="0" w:firstColumn="0" w:lastColumn="0" w:oddVBand="0" w:evenVBand="0" w:oddHBand="0"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2668" w:type="dxa"/>
            <w:vMerge/>
          </w:tcPr>
          <w:p w:rsidR="00CA0090" w:rsidRDefault="00CA0090" w:rsidP="00C84EE9">
            <w:pPr>
              <w:rPr>
                <w:lang w:val="en-GB"/>
              </w:rPr>
            </w:pPr>
          </w:p>
        </w:tc>
      </w:tr>
      <w:tr w:rsidR="00CA0090" w:rsidRPr="009356A1" w:rsidTr="00CA0090">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484" w:type="dxa"/>
          </w:tcPr>
          <w:p w:rsidR="00CA0090" w:rsidRDefault="00CA0090" w:rsidP="00C84EE9">
            <w:pPr>
              <w:rPr>
                <w:lang w:val="en-GB"/>
              </w:rPr>
            </w:pPr>
            <w:r>
              <w:rPr>
                <w:lang w:val="en-GB"/>
              </w:rPr>
              <w:t>3c</w:t>
            </w:r>
          </w:p>
        </w:tc>
        <w:tc>
          <w:tcPr>
            <w:cnfStyle w:val="000010000000" w:firstRow="0" w:lastRow="0" w:firstColumn="0" w:lastColumn="0" w:oddVBand="1" w:evenVBand="0" w:oddHBand="0" w:evenHBand="0" w:firstRowFirstColumn="0" w:firstRowLastColumn="0" w:lastRowFirstColumn="0" w:lastRowLastColumn="0"/>
            <w:tcW w:w="2557" w:type="dxa"/>
          </w:tcPr>
          <w:p w:rsidR="00CA0090" w:rsidRDefault="00CA0090" w:rsidP="00CA0090">
            <w:pPr>
              <w:jc w:val="left"/>
              <w:rPr>
                <w:lang w:val="en-GB"/>
              </w:rPr>
            </w:pPr>
            <w:r w:rsidRPr="009B17DC">
              <w:rPr>
                <w:lang w:val="en-GB"/>
              </w:rPr>
              <w:t>Market simulation indicators for the dataset including changes</w:t>
            </w:r>
          </w:p>
        </w:tc>
        <w:tc>
          <w:tcPr>
            <w:tcW w:w="3579" w:type="dxa"/>
            <w:vMerge/>
          </w:tcPr>
          <w:p w:rsidR="00CA0090" w:rsidRDefault="00CA0090" w:rsidP="00C84EE9">
            <w:pPr>
              <w:cnfStyle w:val="000000100000" w:firstRow="0" w:lastRow="0" w:firstColumn="0" w:lastColumn="0" w:oddVBand="0" w:evenVBand="0" w:oddHBand="1"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2668" w:type="dxa"/>
            <w:vMerge/>
          </w:tcPr>
          <w:p w:rsidR="00CA0090" w:rsidRDefault="00CA0090" w:rsidP="00C84EE9">
            <w:pPr>
              <w:rPr>
                <w:lang w:val="en-GB"/>
              </w:rPr>
            </w:pPr>
          </w:p>
        </w:tc>
      </w:tr>
    </w:tbl>
    <w:p w:rsidR="00EB2357" w:rsidRPr="00CA0090" w:rsidRDefault="00EB2357" w:rsidP="00EB2357">
      <w:pPr>
        <w:rPr>
          <w:lang w:val="en-US"/>
        </w:rPr>
      </w:pPr>
    </w:p>
    <w:p w:rsidR="00EB2357" w:rsidRDefault="00EB2357" w:rsidP="00EB2357">
      <w:pPr>
        <w:rPr>
          <w:lang w:val="en-GB"/>
        </w:rPr>
      </w:pPr>
    </w:p>
    <w:p w:rsidR="00EB2357" w:rsidRDefault="00EB2357" w:rsidP="00EB2357">
      <w:pPr>
        <w:rPr>
          <w:lang w:val="en-GB"/>
        </w:rPr>
      </w:pPr>
    </w:p>
    <w:p w:rsidR="00EB2357" w:rsidRPr="00EB2357" w:rsidRDefault="00EB2357" w:rsidP="00EB2357">
      <w:pPr>
        <w:pStyle w:val="KeinLeerraum"/>
        <w:ind w:firstLine="708"/>
        <w:rPr>
          <w:rFonts w:asciiTheme="majorHAnsi" w:hAnsiTheme="majorHAnsi" w:cstheme="majorHAnsi"/>
          <w:lang w:val="en-GB"/>
        </w:rPr>
      </w:pPr>
    </w:p>
    <w:sectPr w:rsidR="00EB2357" w:rsidRPr="00EB2357" w:rsidSect="00075B7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57" w:rsidRDefault="00EB2357" w:rsidP="00EB2357">
      <w:pPr>
        <w:spacing w:after="0"/>
      </w:pPr>
      <w:r>
        <w:separator/>
      </w:r>
    </w:p>
  </w:endnote>
  <w:endnote w:type="continuationSeparator" w:id="0">
    <w:p w:rsidR="00EB2357" w:rsidRDefault="00EB2357" w:rsidP="00EB2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57" w:rsidRDefault="00EB2357" w:rsidP="00EB2357">
      <w:pPr>
        <w:spacing w:after="0"/>
      </w:pPr>
      <w:r>
        <w:separator/>
      </w:r>
    </w:p>
  </w:footnote>
  <w:footnote w:type="continuationSeparator" w:id="0">
    <w:p w:rsidR="00EB2357" w:rsidRDefault="00EB2357" w:rsidP="00EB23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57" w:rsidRDefault="00EB2357" w:rsidP="00EB2357">
    <w:pPr>
      <w:pStyle w:val="Kopfzeile"/>
      <w:jc w:val="right"/>
    </w:pPr>
    <w:r>
      <w:rPr>
        <w:noProof/>
        <w:lang w:eastAsia="de-DE"/>
      </w:rPr>
      <w:drawing>
        <wp:inline distT="0" distB="0" distL="0" distR="0" wp14:anchorId="221362F0" wp14:editId="5CC76747">
          <wp:extent cx="1320800" cy="609600"/>
          <wp:effectExtent l="0" t="0" r="0" b="0"/>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6096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57" w:rsidRDefault="00EB2357" w:rsidP="00EB2357">
    <w:pPr>
      <w:pStyle w:val="Kopfzeile"/>
      <w:jc w:val="right"/>
    </w:pPr>
    <w:r>
      <w:rPr>
        <w:noProof/>
        <w:lang w:eastAsia="de-DE"/>
      </w:rPr>
      <w:drawing>
        <wp:inline distT="0" distB="0" distL="0" distR="0" wp14:anchorId="1D206BC6" wp14:editId="7FD34D76">
          <wp:extent cx="1320800" cy="60960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0A3F"/>
    <w:multiLevelType w:val="hybridMultilevel"/>
    <w:tmpl w:val="912E26D6"/>
    <w:lvl w:ilvl="0" w:tplc="F01E69F0">
      <w:start w:val="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315DAF"/>
    <w:multiLevelType w:val="hybridMultilevel"/>
    <w:tmpl w:val="4CA81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7343E12"/>
    <w:multiLevelType w:val="hybridMultilevel"/>
    <w:tmpl w:val="971A67D8"/>
    <w:lvl w:ilvl="0" w:tplc="F01E69F0">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29B1CAA"/>
    <w:multiLevelType w:val="hybridMultilevel"/>
    <w:tmpl w:val="A9828D20"/>
    <w:lvl w:ilvl="0" w:tplc="F01E69F0">
      <w:start w:val="2"/>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70F408B2"/>
    <w:multiLevelType w:val="hybridMultilevel"/>
    <w:tmpl w:val="7346D8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21"/>
    <w:rsid w:val="0001632E"/>
    <w:rsid w:val="00075B73"/>
    <w:rsid w:val="00104AA8"/>
    <w:rsid w:val="00210190"/>
    <w:rsid w:val="002D3BE3"/>
    <w:rsid w:val="00334D4F"/>
    <w:rsid w:val="003C2DF7"/>
    <w:rsid w:val="00446E21"/>
    <w:rsid w:val="006E3739"/>
    <w:rsid w:val="009356A1"/>
    <w:rsid w:val="00CA0090"/>
    <w:rsid w:val="00EB2357"/>
    <w:rsid w:val="00F335E1"/>
    <w:rsid w:val="00FB14BF"/>
    <w:rsid w:val="00FC5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2357"/>
    <w:pPr>
      <w:spacing w:after="120" w:line="240" w:lineRule="auto"/>
      <w:jc w:val="both"/>
    </w:pPr>
    <w:rPr>
      <w:color w:val="404040" w:themeColor="text1" w:themeTint="BF"/>
      <w:sz w:val="20"/>
    </w:rPr>
  </w:style>
  <w:style w:type="paragraph" w:styleId="berschrift1">
    <w:name w:val="heading 1"/>
    <w:basedOn w:val="Standard"/>
    <w:next w:val="Standard"/>
    <w:link w:val="berschrift1Zchn"/>
    <w:uiPriority w:val="9"/>
    <w:qFormat/>
    <w:rsid w:val="00FB14BF"/>
    <w:pPr>
      <w:keepNext/>
      <w:keepLines/>
      <w:spacing w:before="480" w:after="0"/>
      <w:outlineLvl w:val="0"/>
    </w:pPr>
    <w:rPr>
      <w:rFonts w:asciiTheme="majorHAnsi" w:eastAsiaTheme="majorEastAsia" w:hAnsiTheme="majorHAnsi" w:cstheme="majorBidi"/>
      <w:b/>
      <w:bCs/>
      <w:color w:val="258ABE" w:themeColor="accent1" w:themeShade="BF"/>
      <w:sz w:val="28"/>
      <w:szCs w:val="28"/>
    </w:rPr>
  </w:style>
  <w:style w:type="paragraph" w:styleId="berschrift2">
    <w:name w:val="heading 2"/>
    <w:basedOn w:val="Standard"/>
    <w:next w:val="Standard"/>
    <w:link w:val="berschrift2Zchn"/>
    <w:uiPriority w:val="9"/>
    <w:unhideWhenUsed/>
    <w:qFormat/>
    <w:rsid w:val="00FB14BF"/>
    <w:pPr>
      <w:keepNext/>
      <w:keepLines/>
      <w:spacing w:before="200" w:after="0"/>
      <w:outlineLvl w:val="1"/>
    </w:pPr>
    <w:rPr>
      <w:rFonts w:asciiTheme="majorHAnsi" w:eastAsiaTheme="majorEastAsia" w:hAnsiTheme="majorHAnsi" w:cstheme="majorBidi"/>
      <w:b/>
      <w:bCs/>
      <w:color w:val="53AEDD" w:themeColor="accent1"/>
      <w:sz w:val="26"/>
      <w:szCs w:val="26"/>
    </w:rPr>
  </w:style>
  <w:style w:type="paragraph" w:styleId="berschrift3">
    <w:name w:val="heading 3"/>
    <w:basedOn w:val="Standard"/>
    <w:next w:val="Standard"/>
    <w:link w:val="berschrift3Zchn"/>
    <w:uiPriority w:val="9"/>
    <w:unhideWhenUsed/>
    <w:qFormat/>
    <w:rsid w:val="00FB14BF"/>
    <w:pPr>
      <w:keepNext/>
      <w:keepLines/>
      <w:spacing w:before="200" w:after="0"/>
      <w:outlineLvl w:val="2"/>
    </w:pPr>
    <w:rPr>
      <w:rFonts w:asciiTheme="majorHAnsi" w:eastAsiaTheme="majorEastAsia" w:hAnsiTheme="majorHAnsi" w:cstheme="majorBidi"/>
      <w:b/>
      <w:bCs/>
      <w:color w:val="53AEDD" w:themeColor="accent1"/>
    </w:rPr>
  </w:style>
  <w:style w:type="paragraph" w:styleId="berschrift4">
    <w:name w:val="heading 4"/>
    <w:basedOn w:val="Standard"/>
    <w:next w:val="Standard"/>
    <w:link w:val="berschrift4Zchn"/>
    <w:uiPriority w:val="9"/>
    <w:unhideWhenUsed/>
    <w:qFormat/>
    <w:rsid w:val="00FB14BF"/>
    <w:pPr>
      <w:keepNext/>
      <w:keepLines/>
      <w:spacing w:before="200" w:after="0"/>
      <w:outlineLvl w:val="3"/>
    </w:pPr>
    <w:rPr>
      <w:rFonts w:asciiTheme="majorHAnsi" w:eastAsiaTheme="majorEastAsia" w:hAnsiTheme="majorHAnsi" w:cstheme="majorBidi"/>
      <w:b/>
      <w:bCs/>
      <w:i/>
      <w:iCs/>
      <w:color w:val="53AED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B14BF"/>
    <w:pPr>
      <w:spacing w:after="0" w:line="240" w:lineRule="auto"/>
    </w:pPr>
  </w:style>
  <w:style w:type="character" w:customStyle="1" w:styleId="berschrift1Zchn">
    <w:name w:val="Überschrift 1 Zchn"/>
    <w:basedOn w:val="Absatz-Standardschriftart"/>
    <w:link w:val="berschrift1"/>
    <w:uiPriority w:val="9"/>
    <w:rsid w:val="00FB14BF"/>
    <w:rPr>
      <w:rFonts w:asciiTheme="majorHAnsi" w:eastAsiaTheme="majorEastAsia" w:hAnsiTheme="majorHAnsi" w:cstheme="majorBidi"/>
      <w:b/>
      <w:bCs/>
      <w:color w:val="258ABE" w:themeColor="accent1" w:themeShade="BF"/>
      <w:sz w:val="28"/>
      <w:szCs w:val="28"/>
    </w:rPr>
  </w:style>
  <w:style w:type="character" w:customStyle="1" w:styleId="berschrift2Zchn">
    <w:name w:val="Überschrift 2 Zchn"/>
    <w:basedOn w:val="Absatz-Standardschriftart"/>
    <w:link w:val="berschrift2"/>
    <w:uiPriority w:val="9"/>
    <w:rsid w:val="00FB14BF"/>
    <w:rPr>
      <w:rFonts w:asciiTheme="majorHAnsi" w:eastAsiaTheme="majorEastAsia" w:hAnsiTheme="majorHAnsi" w:cstheme="majorBidi"/>
      <w:b/>
      <w:bCs/>
      <w:color w:val="53AEDD" w:themeColor="accent1"/>
      <w:sz w:val="26"/>
      <w:szCs w:val="26"/>
    </w:rPr>
  </w:style>
  <w:style w:type="character" w:customStyle="1" w:styleId="berschrift3Zchn">
    <w:name w:val="Überschrift 3 Zchn"/>
    <w:basedOn w:val="Absatz-Standardschriftart"/>
    <w:link w:val="berschrift3"/>
    <w:uiPriority w:val="9"/>
    <w:rsid w:val="00FB14BF"/>
    <w:rPr>
      <w:rFonts w:asciiTheme="majorHAnsi" w:eastAsiaTheme="majorEastAsia" w:hAnsiTheme="majorHAnsi" w:cstheme="majorBidi"/>
      <w:b/>
      <w:bCs/>
      <w:color w:val="53AEDD" w:themeColor="accent1"/>
    </w:rPr>
  </w:style>
  <w:style w:type="character" w:customStyle="1" w:styleId="berschrift4Zchn">
    <w:name w:val="Überschrift 4 Zchn"/>
    <w:basedOn w:val="Absatz-Standardschriftart"/>
    <w:link w:val="berschrift4"/>
    <w:uiPriority w:val="9"/>
    <w:rsid w:val="00FB14BF"/>
    <w:rPr>
      <w:rFonts w:asciiTheme="majorHAnsi" w:eastAsiaTheme="majorEastAsia" w:hAnsiTheme="majorHAnsi" w:cstheme="majorBidi"/>
      <w:b/>
      <w:bCs/>
      <w:i/>
      <w:iCs/>
      <w:color w:val="53AEDD" w:themeColor="accent1"/>
    </w:rPr>
  </w:style>
  <w:style w:type="character" w:styleId="SchwacherVerweis">
    <w:name w:val="Subtle Reference"/>
    <w:basedOn w:val="Absatz-Standardschriftart"/>
    <w:uiPriority w:val="31"/>
    <w:qFormat/>
    <w:rsid w:val="00FB14BF"/>
    <w:rPr>
      <w:smallCaps/>
      <w:color w:val="436AAA" w:themeColor="accent2"/>
      <w:u w:val="single"/>
    </w:rPr>
  </w:style>
  <w:style w:type="paragraph" w:styleId="Kopfzeile">
    <w:name w:val="header"/>
    <w:basedOn w:val="Standard"/>
    <w:link w:val="KopfzeileZchn"/>
    <w:uiPriority w:val="99"/>
    <w:unhideWhenUsed/>
    <w:rsid w:val="00EB2357"/>
    <w:pPr>
      <w:tabs>
        <w:tab w:val="center" w:pos="4536"/>
        <w:tab w:val="right" w:pos="9072"/>
      </w:tabs>
      <w:spacing w:after="0"/>
    </w:pPr>
  </w:style>
  <w:style w:type="character" w:customStyle="1" w:styleId="KopfzeileZchn">
    <w:name w:val="Kopfzeile Zchn"/>
    <w:basedOn w:val="Absatz-Standardschriftart"/>
    <w:link w:val="Kopfzeile"/>
    <w:uiPriority w:val="99"/>
    <w:rsid w:val="00EB2357"/>
  </w:style>
  <w:style w:type="paragraph" w:styleId="Fuzeile">
    <w:name w:val="footer"/>
    <w:basedOn w:val="Standard"/>
    <w:link w:val="FuzeileZchn"/>
    <w:uiPriority w:val="99"/>
    <w:unhideWhenUsed/>
    <w:rsid w:val="00EB2357"/>
    <w:pPr>
      <w:tabs>
        <w:tab w:val="center" w:pos="4536"/>
        <w:tab w:val="right" w:pos="9072"/>
      </w:tabs>
      <w:spacing w:after="0"/>
    </w:pPr>
  </w:style>
  <w:style w:type="character" w:customStyle="1" w:styleId="FuzeileZchn">
    <w:name w:val="Fußzeile Zchn"/>
    <w:basedOn w:val="Absatz-Standardschriftart"/>
    <w:link w:val="Fuzeile"/>
    <w:uiPriority w:val="99"/>
    <w:rsid w:val="00EB2357"/>
  </w:style>
  <w:style w:type="paragraph" w:styleId="Sprechblasentext">
    <w:name w:val="Balloon Text"/>
    <w:basedOn w:val="Standard"/>
    <w:link w:val="SprechblasentextZchn"/>
    <w:uiPriority w:val="99"/>
    <w:semiHidden/>
    <w:unhideWhenUsed/>
    <w:rsid w:val="00EB23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2357"/>
    <w:rPr>
      <w:rFonts w:ascii="Tahoma" w:hAnsi="Tahoma" w:cs="Tahoma"/>
      <w:sz w:val="16"/>
      <w:szCs w:val="16"/>
    </w:rPr>
  </w:style>
  <w:style w:type="paragraph" w:styleId="Titel">
    <w:name w:val="Title"/>
    <w:basedOn w:val="Standard"/>
    <w:next w:val="Standard"/>
    <w:link w:val="TitelZchn"/>
    <w:uiPriority w:val="10"/>
    <w:qFormat/>
    <w:rsid w:val="00EB2357"/>
    <w:pPr>
      <w:spacing w:after="300"/>
      <w:contextualSpacing/>
    </w:pPr>
    <w:rPr>
      <w:rFonts w:asciiTheme="majorHAnsi" w:eastAsiaTheme="majorEastAsia" w:hAnsiTheme="majorHAnsi" w:cstheme="majorBidi"/>
      <w:color w:val="371652" w:themeColor="text2" w:themeShade="BF"/>
      <w:spacing w:val="5"/>
      <w:kern w:val="28"/>
      <w:sz w:val="36"/>
      <w:szCs w:val="52"/>
    </w:rPr>
  </w:style>
  <w:style w:type="character" w:customStyle="1" w:styleId="TitelZchn">
    <w:name w:val="Titel Zchn"/>
    <w:basedOn w:val="Absatz-Standardschriftart"/>
    <w:link w:val="Titel"/>
    <w:uiPriority w:val="10"/>
    <w:rsid w:val="00EB2357"/>
    <w:rPr>
      <w:rFonts w:asciiTheme="majorHAnsi" w:eastAsiaTheme="majorEastAsia" w:hAnsiTheme="majorHAnsi" w:cstheme="majorBidi"/>
      <w:color w:val="371652" w:themeColor="text2" w:themeShade="BF"/>
      <w:spacing w:val="5"/>
      <w:kern w:val="28"/>
      <w:sz w:val="36"/>
      <w:szCs w:val="52"/>
    </w:rPr>
  </w:style>
  <w:style w:type="paragraph" w:styleId="Listenabsatz">
    <w:name w:val="List Paragraph"/>
    <w:basedOn w:val="Standard"/>
    <w:uiPriority w:val="34"/>
    <w:qFormat/>
    <w:rsid w:val="00EB2357"/>
    <w:pPr>
      <w:spacing w:after="0" w:line="300" w:lineRule="atLeast"/>
      <w:ind w:left="720"/>
      <w:contextualSpacing/>
      <w:jc w:val="left"/>
    </w:pPr>
    <w:rPr>
      <w:rFonts w:ascii="Arial" w:hAnsi="Arial" w:cs="Arial"/>
      <w:color w:val="auto"/>
      <w:szCs w:val="20"/>
      <w:lang w:val="nl-NL"/>
    </w:rPr>
  </w:style>
  <w:style w:type="table" w:styleId="HelleListe-Akzent1">
    <w:name w:val="Light List Accent 1"/>
    <w:basedOn w:val="NormaleTabelle"/>
    <w:uiPriority w:val="61"/>
    <w:rsid w:val="00EB2357"/>
    <w:pPr>
      <w:spacing w:after="0" w:line="240" w:lineRule="auto"/>
    </w:pPr>
    <w:rPr>
      <w:lang w:val="nl-NL"/>
    </w:rPr>
    <w:tblPr>
      <w:tblStyleRowBandSize w:val="1"/>
      <w:tblStyleColBandSize w:val="1"/>
      <w:tblBorders>
        <w:top w:val="single" w:sz="8" w:space="0" w:color="53AEDD" w:themeColor="accent1"/>
        <w:left w:val="single" w:sz="8" w:space="0" w:color="53AEDD" w:themeColor="accent1"/>
        <w:bottom w:val="single" w:sz="8" w:space="0" w:color="53AEDD" w:themeColor="accent1"/>
        <w:right w:val="single" w:sz="8" w:space="0" w:color="53AEDD" w:themeColor="accent1"/>
      </w:tblBorders>
    </w:tblPr>
    <w:tblStylePr w:type="firstRow">
      <w:pPr>
        <w:spacing w:before="0" w:after="0" w:line="240" w:lineRule="auto"/>
      </w:pPr>
      <w:rPr>
        <w:b/>
        <w:bCs/>
        <w:color w:val="FFFFFF" w:themeColor="background1"/>
      </w:rPr>
      <w:tblPr/>
      <w:tcPr>
        <w:shd w:val="clear" w:color="auto" w:fill="53AEDD" w:themeFill="accent1"/>
      </w:tcPr>
    </w:tblStylePr>
    <w:tblStylePr w:type="lastRow">
      <w:pPr>
        <w:spacing w:before="0" w:after="0" w:line="240" w:lineRule="auto"/>
      </w:pPr>
      <w:rPr>
        <w:b/>
        <w:bCs/>
      </w:rPr>
      <w:tblPr/>
      <w:tcPr>
        <w:tcBorders>
          <w:top w:val="double" w:sz="6" w:space="0" w:color="53AEDD" w:themeColor="accent1"/>
          <w:left w:val="single" w:sz="8" w:space="0" w:color="53AEDD" w:themeColor="accent1"/>
          <w:bottom w:val="single" w:sz="8" w:space="0" w:color="53AEDD" w:themeColor="accent1"/>
          <w:right w:val="single" w:sz="8" w:space="0" w:color="53AEDD" w:themeColor="accent1"/>
        </w:tcBorders>
      </w:tcPr>
    </w:tblStylePr>
    <w:tblStylePr w:type="firstCol">
      <w:rPr>
        <w:b/>
        <w:bCs/>
      </w:rPr>
    </w:tblStylePr>
    <w:tblStylePr w:type="lastCol">
      <w:rPr>
        <w:b/>
        <w:bCs/>
      </w:rPr>
    </w:tblStylePr>
    <w:tblStylePr w:type="band1Vert">
      <w:tblPr/>
      <w:tcPr>
        <w:tcBorders>
          <w:top w:val="single" w:sz="8" w:space="0" w:color="53AEDD" w:themeColor="accent1"/>
          <w:left w:val="single" w:sz="8" w:space="0" w:color="53AEDD" w:themeColor="accent1"/>
          <w:bottom w:val="single" w:sz="8" w:space="0" w:color="53AEDD" w:themeColor="accent1"/>
          <w:right w:val="single" w:sz="8" w:space="0" w:color="53AEDD" w:themeColor="accent1"/>
        </w:tcBorders>
      </w:tcPr>
    </w:tblStylePr>
    <w:tblStylePr w:type="band1Horz">
      <w:tblPr/>
      <w:tcPr>
        <w:tcBorders>
          <w:top w:val="single" w:sz="8" w:space="0" w:color="53AEDD" w:themeColor="accent1"/>
          <w:left w:val="single" w:sz="8" w:space="0" w:color="53AEDD" w:themeColor="accent1"/>
          <w:bottom w:val="single" w:sz="8" w:space="0" w:color="53AEDD" w:themeColor="accent1"/>
          <w:right w:val="single" w:sz="8" w:space="0" w:color="53AEDD" w:themeColor="accent1"/>
        </w:tcBorders>
      </w:tcPr>
    </w:tblStylePr>
  </w:style>
  <w:style w:type="table" w:styleId="HelleListe-Akzent3">
    <w:name w:val="Light List Accent 3"/>
    <w:basedOn w:val="NormaleTabelle"/>
    <w:uiPriority w:val="61"/>
    <w:rsid w:val="00EB2357"/>
    <w:pPr>
      <w:spacing w:after="0" w:line="240" w:lineRule="auto"/>
    </w:pPr>
    <w:tblPr>
      <w:tblStyleRowBandSize w:val="1"/>
      <w:tblStyleColBandSize w:val="1"/>
      <w:tblBorders>
        <w:top w:val="single" w:sz="8" w:space="0" w:color="DF0764" w:themeColor="accent3"/>
        <w:left w:val="single" w:sz="8" w:space="0" w:color="DF0764" w:themeColor="accent3"/>
        <w:bottom w:val="single" w:sz="8" w:space="0" w:color="DF0764" w:themeColor="accent3"/>
        <w:right w:val="single" w:sz="8" w:space="0" w:color="DF0764" w:themeColor="accent3"/>
      </w:tblBorders>
    </w:tblPr>
    <w:tblStylePr w:type="firstRow">
      <w:pPr>
        <w:spacing w:before="0" w:after="0" w:line="240" w:lineRule="auto"/>
      </w:pPr>
      <w:rPr>
        <w:b/>
        <w:bCs/>
        <w:color w:val="FFFFFF" w:themeColor="background1"/>
      </w:rPr>
      <w:tblPr/>
      <w:tcPr>
        <w:shd w:val="clear" w:color="auto" w:fill="DF0764" w:themeFill="accent3"/>
      </w:tcPr>
    </w:tblStylePr>
    <w:tblStylePr w:type="lastRow">
      <w:pPr>
        <w:spacing w:before="0" w:after="0" w:line="240" w:lineRule="auto"/>
      </w:pPr>
      <w:rPr>
        <w:b/>
        <w:bCs/>
      </w:rPr>
      <w:tblPr/>
      <w:tcPr>
        <w:tcBorders>
          <w:top w:val="double" w:sz="6" w:space="0" w:color="DF0764" w:themeColor="accent3"/>
          <w:left w:val="single" w:sz="8" w:space="0" w:color="DF0764" w:themeColor="accent3"/>
          <w:bottom w:val="single" w:sz="8" w:space="0" w:color="DF0764" w:themeColor="accent3"/>
          <w:right w:val="single" w:sz="8" w:space="0" w:color="DF0764" w:themeColor="accent3"/>
        </w:tcBorders>
      </w:tcPr>
    </w:tblStylePr>
    <w:tblStylePr w:type="firstCol">
      <w:rPr>
        <w:b/>
        <w:bCs/>
      </w:rPr>
    </w:tblStylePr>
    <w:tblStylePr w:type="lastCol">
      <w:rPr>
        <w:b/>
        <w:bCs/>
      </w:rPr>
    </w:tblStylePr>
    <w:tblStylePr w:type="band1Vert">
      <w:tblPr/>
      <w:tcPr>
        <w:tcBorders>
          <w:top w:val="single" w:sz="8" w:space="0" w:color="DF0764" w:themeColor="accent3"/>
          <w:left w:val="single" w:sz="8" w:space="0" w:color="DF0764" w:themeColor="accent3"/>
          <w:bottom w:val="single" w:sz="8" w:space="0" w:color="DF0764" w:themeColor="accent3"/>
          <w:right w:val="single" w:sz="8" w:space="0" w:color="DF0764" w:themeColor="accent3"/>
        </w:tcBorders>
      </w:tcPr>
    </w:tblStylePr>
    <w:tblStylePr w:type="band1Horz">
      <w:tblPr/>
      <w:tcPr>
        <w:tcBorders>
          <w:top w:val="single" w:sz="8" w:space="0" w:color="DF0764" w:themeColor="accent3"/>
          <w:left w:val="single" w:sz="8" w:space="0" w:color="DF0764" w:themeColor="accent3"/>
          <w:bottom w:val="single" w:sz="8" w:space="0" w:color="DF0764" w:themeColor="accent3"/>
          <w:right w:val="single" w:sz="8" w:space="0" w:color="DF0764" w:themeColor="accent3"/>
        </w:tcBorders>
      </w:tcPr>
    </w:tblStylePr>
  </w:style>
  <w:style w:type="table" w:styleId="HelleListe-Akzent4">
    <w:name w:val="Light List Accent 4"/>
    <w:basedOn w:val="NormaleTabelle"/>
    <w:uiPriority w:val="61"/>
    <w:rsid w:val="00EB2357"/>
    <w:pPr>
      <w:spacing w:after="0" w:line="240" w:lineRule="auto"/>
    </w:pPr>
    <w:tblPr>
      <w:tblStyleRowBandSize w:val="1"/>
      <w:tblStyleColBandSize w:val="1"/>
      <w:tblBorders>
        <w:top w:val="single" w:sz="8" w:space="0" w:color="B4007D" w:themeColor="accent4"/>
        <w:left w:val="single" w:sz="8" w:space="0" w:color="B4007D" w:themeColor="accent4"/>
        <w:bottom w:val="single" w:sz="8" w:space="0" w:color="B4007D" w:themeColor="accent4"/>
        <w:right w:val="single" w:sz="8" w:space="0" w:color="B4007D" w:themeColor="accent4"/>
      </w:tblBorders>
    </w:tblPr>
    <w:tblStylePr w:type="firstRow">
      <w:pPr>
        <w:spacing w:before="0" w:after="0" w:line="240" w:lineRule="auto"/>
      </w:pPr>
      <w:rPr>
        <w:b/>
        <w:bCs/>
        <w:color w:val="FFFFFF" w:themeColor="background1"/>
      </w:rPr>
      <w:tblPr/>
      <w:tcPr>
        <w:shd w:val="clear" w:color="auto" w:fill="B4007D" w:themeFill="accent4"/>
      </w:tcPr>
    </w:tblStylePr>
    <w:tblStylePr w:type="lastRow">
      <w:pPr>
        <w:spacing w:before="0" w:after="0" w:line="240" w:lineRule="auto"/>
      </w:pPr>
      <w:rPr>
        <w:b/>
        <w:bCs/>
      </w:rPr>
      <w:tblPr/>
      <w:tcPr>
        <w:tcBorders>
          <w:top w:val="double" w:sz="6" w:space="0" w:color="B4007D" w:themeColor="accent4"/>
          <w:left w:val="single" w:sz="8" w:space="0" w:color="B4007D" w:themeColor="accent4"/>
          <w:bottom w:val="single" w:sz="8" w:space="0" w:color="B4007D" w:themeColor="accent4"/>
          <w:right w:val="single" w:sz="8" w:space="0" w:color="B4007D" w:themeColor="accent4"/>
        </w:tcBorders>
      </w:tcPr>
    </w:tblStylePr>
    <w:tblStylePr w:type="firstCol">
      <w:rPr>
        <w:b/>
        <w:bCs/>
      </w:rPr>
    </w:tblStylePr>
    <w:tblStylePr w:type="lastCol">
      <w:rPr>
        <w:b/>
        <w:bCs/>
      </w:rPr>
    </w:tblStylePr>
    <w:tblStylePr w:type="band1Vert">
      <w:tblPr/>
      <w:tcPr>
        <w:tcBorders>
          <w:top w:val="single" w:sz="8" w:space="0" w:color="B4007D" w:themeColor="accent4"/>
          <w:left w:val="single" w:sz="8" w:space="0" w:color="B4007D" w:themeColor="accent4"/>
          <w:bottom w:val="single" w:sz="8" w:space="0" w:color="B4007D" w:themeColor="accent4"/>
          <w:right w:val="single" w:sz="8" w:space="0" w:color="B4007D" w:themeColor="accent4"/>
        </w:tcBorders>
      </w:tcPr>
    </w:tblStylePr>
    <w:tblStylePr w:type="band1Horz">
      <w:tblPr/>
      <w:tcPr>
        <w:tcBorders>
          <w:top w:val="single" w:sz="8" w:space="0" w:color="B4007D" w:themeColor="accent4"/>
          <w:left w:val="single" w:sz="8" w:space="0" w:color="B4007D" w:themeColor="accent4"/>
          <w:bottom w:val="single" w:sz="8" w:space="0" w:color="B4007D" w:themeColor="accent4"/>
          <w:right w:val="single" w:sz="8" w:space="0" w:color="B4007D" w:themeColor="accent4"/>
        </w:tcBorders>
      </w:tcPr>
    </w:tblStylePr>
  </w:style>
  <w:style w:type="table" w:styleId="HelleListe-Akzent2">
    <w:name w:val="Light List Accent 2"/>
    <w:basedOn w:val="NormaleTabelle"/>
    <w:uiPriority w:val="61"/>
    <w:rsid w:val="00EB2357"/>
    <w:pPr>
      <w:spacing w:after="0" w:line="240" w:lineRule="auto"/>
    </w:pPr>
    <w:tblPr>
      <w:tblStyleRowBandSize w:val="1"/>
      <w:tblStyleColBandSize w:val="1"/>
      <w:tblBorders>
        <w:top w:val="single" w:sz="8" w:space="0" w:color="436AAA" w:themeColor="accent2"/>
        <w:left w:val="single" w:sz="8" w:space="0" w:color="436AAA" w:themeColor="accent2"/>
        <w:bottom w:val="single" w:sz="8" w:space="0" w:color="436AAA" w:themeColor="accent2"/>
        <w:right w:val="single" w:sz="8" w:space="0" w:color="436AAA" w:themeColor="accent2"/>
      </w:tblBorders>
    </w:tblPr>
    <w:tblStylePr w:type="firstRow">
      <w:pPr>
        <w:spacing w:before="0" w:after="0" w:line="240" w:lineRule="auto"/>
      </w:pPr>
      <w:rPr>
        <w:b/>
        <w:bCs/>
        <w:color w:val="FFFFFF" w:themeColor="background1"/>
      </w:rPr>
      <w:tblPr/>
      <w:tcPr>
        <w:shd w:val="clear" w:color="auto" w:fill="436AAA" w:themeFill="accent2"/>
      </w:tcPr>
    </w:tblStylePr>
    <w:tblStylePr w:type="lastRow">
      <w:pPr>
        <w:spacing w:before="0" w:after="0" w:line="240" w:lineRule="auto"/>
      </w:pPr>
      <w:rPr>
        <w:b/>
        <w:bCs/>
      </w:rPr>
      <w:tblPr/>
      <w:tcPr>
        <w:tcBorders>
          <w:top w:val="double" w:sz="6" w:space="0" w:color="436AAA" w:themeColor="accent2"/>
          <w:left w:val="single" w:sz="8" w:space="0" w:color="436AAA" w:themeColor="accent2"/>
          <w:bottom w:val="single" w:sz="8" w:space="0" w:color="436AAA" w:themeColor="accent2"/>
          <w:right w:val="single" w:sz="8" w:space="0" w:color="436AAA" w:themeColor="accent2"/>
        </w:tcBorders>
      </w:tcPr>
    </w:tblStylePr>
    <w:tblStylePr w:type="firstCol">
      <w:rPr>
        <w:b/>
        <w:bCs/>
      </w:rPr>
    </w:tblStylePr>
    <w:tblStylePr w:type="lastCol">
      <w:rPr>
        <w:b/>
        <w:bCs/>
      </w:rPr>
    </w:tblStylePr>
    <w:tblStylePr w:type="band1Vert">
      <w:tblPr/>
      <w:tcPr>
        <w:tcBorders>
          <w:top w:val="single" w:sz="8" w:space="0" w:color="436AAA" w:themeColor="accent2"/>
          <w:left w:val="single" w:sz="8" w:space="0" w:color="436AAA" w:themeColor="accent2"/>
          <w:bottom w:val="single" w:sz="8" w:space="0" w:color="436AAA" w:themeColor="accent2"/>
          <w:right w:val="single" w:sz="8" w:space="0" w:color="436AAA" w:themeColor="accent2"/>
        </w:tcBorders>
      </w:tcPr>
    </w:tblStylePr>
    <w:tblStylePr w:type="band1Horz">
      <w:tblPr/>
      <w:tcPr>
        <w:tcBorders>
          <w:top w:val="single" w:sz="8" w:space="0" w:color="436AAA" w:themeColor="accent2"/>
          <w:left w:val="single" w:sz="8" w:space="0" w:color="436AAA" w:themeColor="accent2"/>
          <w:bottom w:val="single" w:sz="8" w:space="0" w:color="436AAA" w:themeColor="accent2"/>
          <w:right w:val="single" w:sz="8" w:space="0" w:color="436AAA"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2357"/>
    <w:pPr>
      <w:spacing w:after="120" w:line="240" w:lineRule="auto"/>
      <w:jc w:val="both"/>
    </w:pPr>
    <w:rPr>
      <w:color w:val="404040" w:themeColor="text1" w:themeTint="BF"/>
      <w:sz w:val="20"/>
    </w:rPr>
  </w:style>
  <w:style w:type="paragraph" w:styleId="berschrift1">
    <w:name w:val="heading 1"/>
    <w:basedOn w:val="Standard"/>
    <w:next w:val="Standard"/>
    <w:link w:val="berschrift1Zchn"/>
    <w:uiPriority w:val="9"/>
    <w:qFormat/>
    <w:rsid w:val="00FB14BF"/>
    <w:pPr>
      <w:keepNext/>
      <w:keepLines/>
      <w:spacing w:before="480" w:after="0"/>
      <w:outlineLvl w:val="0"/>
    </w:pPr>
    <w:rPr>
      <w:rFonts w:asciiTheme="majorHAnsi" w:eastAsiaTheme="majorEastAsia" w:hAnsiTheme="majorHAnsi" w:cstheme="majorBidi"/>
      <w:b/>
      <w:bCs/>
      <w:color w:val="258ABE" w:themeColor="accent1" w:themeShade="BF"/>
      <w:sz w:val="28"/>
      <w:szCs w:val="28"/>
    </w:rPr>
  </w:style>
  <w:style w:type="paragraph" w:styleId="berschrift2">
    <w:name w:val="heading 2"/>
    <w:basedOn w:val="Standard"/>
    <w:next w:val="Standard"/>
    <w:link w:val="berschrift2Zchn"/>
    <w:uiPriority w:val="9"/>
    <w:unhideWhenUsed/>
    <w:qFormat/>
    <w:rsid w:val="00FB14BF"/>
    <w:pPr>
      <w:keepNext/>
      <w:keepLines/>
      <w:spacing w:before="200" w:after="0"/>
      <w:outlineLvl w:val="1"/>
    </w:pPr>
    <w:rPr>
      <w:rFonts w:asciiTheme="majorHAnsi" w:eastAsiaTheme="majorEastAsia" w:hAnsiTheme="majorHAnsi" w:cstheme="majorBidi"/>
      <w:b/>
      <w:bCs/>
      <w:color w:val="53AEDD" w:themeColor="accent1"/>
      <w:sz w:val="26"/>
      <w:szCs w:val="26"/>
    </w:rPr>
  </w:style>
  <w:style w:type="paragraph" w:styleId="berschrift3">
    <w:name w:val="heading 3"/>
    <w:basedOn w:val="Standard"/>
    <w:next w:val="Standard"/>
    <w:link w:val="berschrift3Zchn"/>
    <w:uiPriority w:val="9"/>
    <w:unhideWhenUsed/>
    <w:qFormat/>
    <w:rsid w:val="00FB14BF"/>
    <w:pPr>
      <w:keepNext/>
      <w:keepLines/>
      <w:spacing w:before="200" w:after="0"/>
      <w:outlineLvl w:val="2"/>
    </w:pPr>
    <w:rPr>
      <w:rFonts w:asciiTheme="majorHAnsi" w:eastAsiaTheme="majorEastAsia" w:hAnsiTheme="majorHAnsi" w:cstheme="majorBidi"/>
      <w:b/>
      <w:bCs/>
      <w:color w:val="53AEDD" w:themeColor="accent1"/>
    </w:rPr>
  </w:style>
  <w:style w:type="paragraph" w:styleId="berschrift4">
    <w:name w:val="heading 4"/>
    <w:basedOn w:val="Standard"/>
    <w:next w:val="Standard"/>
    <w:link w:val="berschrift4Zchn"/>
    <w:uiPriority w:val="9"/>
    <w:unhideWhenUsed/>
    <w:qFormat/>
    <w:rsid w:val="00FB14BF"/>
    <w:pPr>
      <w:keepNext/>
      <w:keepLines/>
      <w:spacing w:before="200" w:after="0"/>
      <w:outlineLvl w:val="3"/>
    </w:pPr>
    <w:rPr>
      <w:rFonts w:asciiTheme="majorHAnsi" w:eastAsiaTheme="majorEastAsia" w:hAnsiTheme="majorHAnsi" w:cstheme="majorBidi"/>
      <w:b/>
      <w:bCs/>
      <w:i/>
      <w:iCs/>
      <w:color w:val="53AED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B14BF"/>
    <w:pPr>
      <w:spacing w:after="0" w:line="240" w:lineRule="auto"/>
    </w:pPr>
  </w:style>
  <w:style w:type="character" w:customStyle="1" w:styleId="berschrift1Zchn">
    <w:name w:val="Überschrift 1 Zchn"/>
    <w:basedOn w:val="Absatz-Standardschriftart"/>
    <w:link w:val="berschrift1"/>
    <w:uiPriority w:val="9"/>
    <w:rsid w:val="00FB14BF"/>
    <w:rPr>
      <w:rFonts w:asciiTheme="majorHAnsi" w:eastAsiaTheme="majorEastAsia" w:hAnsiTheme="majorHAnsi" w:cstheme="majorBidi"/>
      <w:b/>
      <w:bCs/>
      <w:color w:val="258ABE" w:themeColor="accent1" w:themeShade="BF"/>
      <w:sz w:val="28"/>
      <w:szCs w:val="28"/>
    </w:rPr>
  </w:style>
  <w:style w:type="character" w:customStyle="1" w:styleId="berschrift2Zchn">
    <w:name w:val="Überschrift 2 Zchn"/>
    <w:basedOn w:val="Absatz-Standardschriftart"/>
    <w:link w:val="berschrift2"/>
    <w:uiPriority w:val="9"/>
    <w:rsid w:val="00FB14BF"/>
    <w:rPr>
      <w:rFonts w:asciiTheme="majorHAnsi" w:eastAsiaTheme="majorEastAsia" w:hAnsiTheme="majorHAnsi" w:cstheme="majorBidi"/>
      <w:b/>
      <w:bCs/>
      <w:color w:val="53AEDD" w:themeColor="accent1"/>
      <w:sz w:val="26"/>
      <w:szCs w:val="26"/>
    </w:rPr>
  </w:style>
  <w:style w:type="character" w:customStyle="1" w:styleId="berschrift3Zchn">
    <w:name w:val="Überschrift 3 Zchn"/>
    <w:basedOn w:val="Absatz-Standardschriftart"/>
    <w:link w:val="berschrift3"/>
    <w:uiPriority w:val="9"/>
    <w:rsid w:val="00FB14BF"/>
    <w:rPr>
      <w:rFonts w:asciiTheme="majorHAnsi" w:eastAsiaTheme="majorEastAsia" w:hAnsiTheme="majorHAnsi" w:cstheme="majorBidi"/>
      <w:b/>
      <w:bCs/>
      <w:color w:val="53AEDD" w:themeColor="accent1"/>
    </w:rPr>
  </w:style>
  <w:style w:type="character" w:customStyle="1" w:styleId="berschrift4Zchn">
    <w:name w:val="Überschrift 4 Zchn"/>
    <w:basedOn w:val="Absatz-Standardschriftart"/>
    <w:link w:val="berschrift4"/>
    <w:uiPriority w:val="9"/>
    <w:rsid w:val="00FB14BF"/>
    <w:rPr>
      <w:rFonts w:asciiTheme="majorHAnsi" w:eastAsiaTheme="majorEastAsia" w:hAnsiTheme="majorHAnsi" w:cstheme="majorBidi"/>
      <w:b/>
      <w:bCs/>
      <w:i/>
      <w:iCs/>
      <w:color w:val="53AEDD" w:themeColor="accent1"/>
    </w:rPr>
  </w:style>
  <w:style w:type="character" w:styleId="SchwacherVerweis">
    <w:name w:val="Subtle Reference"/>
    <w:basedOn w:val="Absatz-Standardschriftart"/>
    <w:uiPriority w:val="31"/>
    <w:qFormat/>
    <w:rsid w:val="00FB14BF"/>
    <w:rPr>
      <w:smallCaps/>
      <w:color w:val="436AAA" w:themeColor="accent2"/>
      <w:u w:val="single"/>
    </w:rPr>
  </w:style>
  <w:style w:type="paragraph" w:styleId="Kopfzeile">
    <w:name w:val="header"/>
    <w:basedOn w:val="Standard"/>
    <w:link w:val="KopfzeileZchn"/>
    <w:uiPriority w:val="99"/>
    <w:unhideWhenUsed/>
    <w:rsid w:val="00EB2357"/>
    <w:pPr>
      <w:tabs>
        <w:tab w:val="center" w:pos="4536"/>
        <w:tab w:val="right" w:pos="9072"/>
      </w:tabs>
      <w:spacing w:after="0"/>
    </w:pPr>
  </w:style>
  <w:style w:type="character" w:customStyle="1" w:styleId="KopfzeileZchn">
    <w:name w:val="Kopfzeile Zchn"/>
    <w:basedOn w:val="Absatz-Standardschriftart"/>
    <w:link w:val="Kopfzeile"/>
    <w:uiPriority w:val="99"/>
    <w:rsid w:val="00EB2357"/>
  </w:style>
  <w:style w:type="paragraph" w:styleId="Fuzeile">
    <w:name w:val="footer"/>
    <w:basedOn w:val="Standard"/>
    <w:link w:val="FuzeileZchn"/>
    <w:uiPriority w:val="99"/>
    <w:unhideWhenUsed/>
    <w:rsid w:val="00EB2357"/>
    <w:pPr>
      <w:tabs>
        <w:tab w:val="center" w:pos="4536"/>
        <w:tab w:val="right" w:pos="9072"/>
      </w:tabs>
      <w:spacing w:after="0"/>
    </w:pPr>
  </w:style>
  <w:style w:type="character" w:customStyle="1" w:styleId="FuzeileZchn">
    <w:name w:val="Fußzeile Zchn"/>
    <w:basedOn w:val="Absatz-Standardschriftart"/>
    <w:link w:val="Fuzeile"/>
    <w:uiPriority w:val="99"/>
    <w:rsid w:val="00EB2357"/>
  </w:style>
  <w:style w:type="paragraph" w:styleId="Sprechblasentext">
    <w:name w:val="Balloon Text"/>
    <w:basedOn w:val="Standard"/>
    <w:link w:val="SprechblasentextZchn"/>
    <w:uiPriority w:val="99"/>
    <w:semiHidden/>
    <w:unhideWhenUsed/>
    <w:rsid w:val="00EB23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2357"/>
    <w:rPr>
      <w:rFonts w:ascii="Tahoma" w:hAnsi="Tahoma" w:cs="Tahoma"/>
      <w:sz w:val="16"/>
      <w:szCs w:val="16"/>
    </w:rPr>
  </w:style>
  <w:style w:type="paragraph" w:styleId="Titel">
    <w:name w:val="Title"/>
    <w:basedOn w:val="Standard"/>
    <w:next w:val="Standard"/>
    <w:link w:val="TitelZchn"/>
    <w:uiPriority w:val="10"/>
    <w:qFormat/>
    <w:rsid w:val="00EB2357"/>
    <w:pPr>
      <w:spacing w:after="300"/>
      <w:contextualSpacing/>
    </w:pPr>
    <w:rPr>
      <w:rFonts w:asciiTheme="majorHAnsi" w:eastAsiaTheme="majorEastAsia" w:hAnsiTheme="majorHAnsi" w:cstheme="majorBidi"/>
      <w:color w:val="371652" w:themeColor="text2" w:themeShade="BF"/>
      <w:spacing w:val="5"/>
      <w:kern w:val="28"/>
      <w:sz w:val="36"/>
      <w:szCs w:val="52"/>
    </w:rPr>
  </w:style>
  <w:style w:type="character" w:customStyle="1" w:styleId="TitelZchn">
    <w:name w:val="Titel Zchn"/>
    <w:basedOn w:val="Absatz-Standardschriftart"/>
    <w:link w:val="Titel"/>
    <w:uiPriority w:val="10"/>
    <w:rsid w:val="00EB2357"/>
    <w:rPr>
      <w:rFonts w:asciiTheme="majorHAnsi" w:eastAsiaTheme="majorEastAsia" w:hAnsiTheme="majorHAnsi" w:cstheme="majorBidi"/>
      <w:color w:val="371652" w:themeColor="text2" w:themeShade="BF"/>
      <w:spacing w:val="5"/>
      <w:kern w:val="28"/>
      <w:sz w:val="36"/>
      <w:szCs w:val="52"/>
    </w:rPr>
  </w:style>
  <w:style w:type="paragraph" w:styleId="Listenabsatz">
    <w:name w:val="List Paragraph"/>
    <w:basedOn w:val="Standard"/>
    <w:uiPriority w:val="34"/>
    <w:qFormat/>
    <w:rsid w:val="00EB2357"/>
    <w:pPr>
      <w:spacing w:after="0" w:line="300" w:lineRule="atLeast"/>
      <w:ind w:left="720"/>
      <w:contextualSpacing/>
      <w:jc w:val="left"/>
    </w:pPr>
    <w:rPr>
      <w:rFonts w:ascii="Arial" w:hAnsi="Arial" w:cs="Arial"/>
      <w:color w:val="auto"/>
      <w:szCs w:val="20"/>
      <w:lang w:val="nl-NL"/>
    </w:rPr>
  </w:style>
  <w:style w:type="table" w:styleId="HelleListe-Akzent1">
    <w:name w:val="Light List Accent 1"/>
    <w:basedOn w:val="NormaleTabelle"/>
    <w:uiPriority w:val="61"/>
    <w:rsid w:val="00EB2357"/>
    <w:pPr>
      <w:spacing w:after="0" w:line="240" w:lineRule="auto"/>
    </w:pPr>
    <w:rPr>
      <w:lang w:val="nl-NL"/>
    </w:rPr>
    <w:tblPr>
      <w:tblStyleRowBandSize w:val="1"/>
      <w:tblStyleColBandSize w:val="1"/>
      <w:tblBorders>
        <w:top w:val="single" w:sz="8" w:space="0" w:color="53AEDD" w:themeColor="accent1"/>
        <w:left w:val="single" w:sz="8" w:space="0" w:color="53AEDD" w:themeColor="accent1"/>
        <w:bottom w:val="single" w:sz="8" w:space="0" w:color="53AEDD" w:themeColor="accent1"/>
        <w:right w:val="single" w:sz="8" w:space="0" w:color="53AEDD" w:themeColor="accent1"/>
      </w:tblBorders>
    </w:tblPr>
    <w:tblStylePr w:type="firstRow">
      <w:pPr>
        <w:spacing w:before="0" w:after="0" w:line="240" w:lineRule="auto"/>
      </w:pPr>
      <w:rPr>
        <w:b/>
        <w:bCs/>
        <w:color w:val="FFFFFF" w:themeColor="background1"/>
      </w:rPr>
      <w:tblPr/>
      <w:tcPr>
        <w:shd w:val="clear" w:color="auto" w:fill="53AEDD" w:themeFill="accent1"/>
      </w:tcPr>
    </w:tblStylePr>
    <w:tblStylePr w:type="lastRow">
      <w:pPr>
        <w:spacing w:before="0" w:after="0" w:line="240" w:lineRule="auto"/>
      </w:pPr>
      <w:rPr>
        <w:b/>
        <w:bCs/>
      </w:rPr>
      <w:tblPr/>
      <w:tcPr>
        <w:tcBorders>
          <w:top w:val="double" w:sz="6" w:space="0" w:color="53AEDD" w:themeColor="accent1"/>
          <w:left w:val="single" w:sz="8" w:space="0" w:color="53AEDD" w:themeColor="accent1"/>
          <w:bottom w:val="single" w:sz="8" w:space="0" w:color="53AEDD" w:themeColor="accent1"/>
          <w:right w:val="single" w:sz="8" w:space="0" w:color="53AEDD" w:themeColor="accent1"/>
        </w:tcBorders>
      </w:tcPr>
    </w:tblStylePr>
    <w:tblStylePr w:type="firstCol">
      <w:rPr>
        <w:b/>
        <w:bCs/>
      </w:rPr>
    </w:tblStylePr>
    <w:tblStylePr w:type="lastCol">
      <w:rPr>
        <w:b/>
        <w:bCs/>
      </w:rPr>
    </w:tblStylePr>
    <w:tblStylePr w:type="band1Vert">
      <w:tblPr/>
      <w:tcPr>
        <w:tcBorders>
          <w:top w:val="single" w:sz="8" w:space="0" w:color="53AEDD" w:themeColor="accent1"/>
          <w:left w:val="single" w:sz="8" w:space="0" w:color="53AEDD" w:themeColor="accent1"/>
          <w:bottom w:val="single" w:sz="8" w:space="0" w:color="53AEDD" w:themeColor="accent1"/>
          <w:right w:val="single" w:sz="8" w:space="0" w:color="53AEDD" w:themeColor="accent1"/>
        </w:tcBorders>
      </w:tcPr>
    </w:tblStylePr>
    <w:tblStylePr w:type="band1Horz">
      <w:tblPr/>
      <w:tcPr>
        <w:tcBorders>
          <w:top w:val="single" w:sz="8" w:space="0" w:color="53AEDD" w:themeColor="accent1"/>
          <w:left w:val="single" w:sz="8" w:space="0" w:color="53AEDD" w:themeColor="accent1"/>
          <w:bottom w:val="single" w:sz="8" w:space="0" w:color="53AEDD" w:themeColor="accent1"/>
          <w:right w:val="single" w:sz="8" w:space="0" w:color="53AEDD" w:themeColor="accent1"/>
        </w:tcBorders>
      </w:tcPr>
    </w:tblStylePr>
  </w:style>
  <w:style w:type="table" w:styleId="HelleListe-Akzent3">
    <w:name w:val="Light List Accent 3"/>
    <w:basedOn w:val="NormaleTabelle"/>
    <w:uiPriority w:val="61"/>
    <w:rsid w:val="00EB2357"/>
    <w:pPr>
      <w:spacing w:after="0" w:line="240" w:lineRule="auto"/>
    </w:pPr>
    <w:tblPr>
      <w:tblStyleRowBandSize w:val="1"/>
      <w:tblStyleColBandSize w:val="1"/>
      <w:tblBorders>
        <w:top w:val="single" w:sz="8" w:space="0" w:color="DF0764" w:themeColor="accent3"/>
        <w:left w:val="single" w:sz="8" w:space="0" w:color="DF0764" w:themeColor="accent3"/>
        <w:bottom w:val="single" w:sz="8" w:space="0" w:color="DF0764" w:themeColor="accent3"/>
        <w:right w:val="single" w:sz="8" w:space="0" w:color="DF0764" w:themeColor="accent3"/>
      </w:tblBorders>
    </w:tblPr>
    <w:tblStylePr w:type="firstRow">
      <w:pPr>
        <w:spacing w:before="0" w:after="0" w:line="240" w:lineRule="auto"/>
      </w:pPr>
      <w:rPr>
        <w:b/>
        <w:bCs/>
        <w:color w:val="FFFFFF" w:themeColor="background1"/>
      </w:rPr>
      <w:tblPr/>
      <w:tcPr>
        <w:shd w:val="clear" w:color="auto" w:fill="DF0764" w:themeFill="accent3"/>
      </w:tcPr>
    </w:tblStylePr>
    <w:tblStylePr w:type="lastRow">
      <w:pPr>
        <w:spacing w:before="0" w:after="0" w:line="240" w:lineRule="auto"/>
      </w:pPr>
      <w:rPr>
        <w:b/>
        <w:bCs/>
      </w:rPr>
      <w:tblPr/>
      <w:tcPr>
        <w:tcBorders>
          <w:top w:val="double" w:sz="6" w:space="0" w:color="DF0764" w:themeColor="accent3"/>
          <w:left w:val="single" w:sz="8" w:space="0" w:color="DF0764" w:themeColor="accent3"/>
          <w:bottom w:val="single" w:sz="8" w:space="0" w:color="DF0764" w:themeColor="accent3"/>
          <w:right w:val="single" w:sz="8" w:space="0" w:color="DF0764" w:themeColor="accent3"/>
        </w:tcBorders>
      </w:tcPr>
    </w:tblStylePr>
    <w:tblStylePr w:type="firstCol">
      <w:rPr>
        <w:b/>
        <w:bCs/>
      </w:rPr>
    </w:tblStylePr>
    <w:tblStylePr w:type="lastCol">
      <w:rPr>
        <w:b/>
        <w:bCs/>
      </w:rPr>
    </w:tblStylePr>
    <w:tblStylePr w:type="band1Vert">
      <w:tblPr/>
      <w:tcPr>
        <w:tcBorders>
          <w:top w:val="single" w:sz="8" w:space="0" w:color="DF0764" w:themeColor="accent3"/>
          <w:left w:val="single" w:sz="8" w:space="0" w:color="DF0764" w:themeColor="accent3"/>
          <w:bottom w:val="single" w:sz="8" w:space="0" w:color="DF0764" w:themeColor="accent3"/>
          <w:right w:val="single" w:sz="8" w:space="0" w:color="DF0764" w:themeColor="accent3"/>
        </w:tcBorders>
      </w:tcPr>
    </w:tblStylePr>
    <w:tblStylePr w:type="band1Horz">
      <w:tblPr/>
      <w:tcPr>
        <w:tcBorders>
          <w:top w:val="single" w:sz="8" w:space="0" w:color="DF0764" w:themeColor="accent3"/>
          <w:left w:val="single" w:sz="8" w:space="0" w:color="DF0764" w:themeColor="accent3"/>
          <w:bottom w:val="single" w:sz="8" w:space="0" w:color="DF0764" w:themeColor="accent3"/>
          <w:right w:val="single" w:sz="8" w:space="0" w:color="DF0764" w:themeColor="accent3"/>
        </w:tcBorders>
      </w:tcPr>
    </w:tblStylePr>
  </w:style>
  <w:style w:type="table" w:styleId="HelleListe-Akzent4">
    <w:name w:val="Light List Accent 4"/>
    <w:basedOn w:val="NormaleTabelle"/>
    <w:uiPriority w:val="61"/>
    <w:rsid w:val="00EB2357"/>
    <w:pPr>
      <w:spacing w:after="0" w:line="240" w:lineRule="auto"/>
    </w:pPr>
    <w:tblPr>
      <w:tblStyleRowBandSize w:val="1"/>
      <w:tblStyleColBandSize w:val="1"/>
      <w:tblBorders>
        <w:top w:val="single" w:sz="8" w:space="0" w:color="B4007D" w:themeColor="accent4"/>
        <w:left w:val="single" w:sz="8" w:space="0" w:color="B4007D" w:themeColor="accent4"/>
        <w:bottom w:val="single" w:sz="8" w:space="0" w:color="B4007D" w:themeColor="accent4"/>
        <w:right w:val="single" w:sz="8" w:space="0" w:color="B4007D" w:themeColor="accent4"/>
      </w:tblBorders>
    </w:tblPr>
    <w:tblStylePr w:type="firstRow">
      <w:pPr>
        <w:spacing w:before="0" w:after="0" w:line="240" w:lineRule="auto"/>
      </w:pPr>
      <w:rPr>
        <w:b/>
        <w:bCs/>
        <w:color w:val="FFFFFF" w:themeColor="background1"/>
      </w:rPr>
      <w:tblPr/>
      <w:tcPr>
        <w:shd w:val="clear" w:color="auto" w:fill="B4007D" w:themeFill="accent4"/>
      </w:tcPr>
    </w:tblStylePr>
    <w:tblStylePr w:type="lastRow">
      <w:pPr>
        <w:spacing w:before="0" w:after="0" w:line="240" w:lineRule="auto"/>
      </w:pPr>
      <w:rPr>
        <w:b/>
        <w:bCs/>
      </w:rPr>
      <w:tblPr/>
      <w:tcPr>
        <w:tcBorders>
          <w:top w:val="double" w:sz="6" w:space="0" w:color="B4007D" w:themeColor="accent4"/>
          <w:left w:val="single" w:sz="8" w:space="0" w:color="B4007D" w:themeColor="accent4"/>
          <w:bottom w:val="single" w:sz="8" w:space="0" w:color="B4007D" w:themeColor="accent4"/>
          <w:right w:val="single" w:sz="8" w:space="0" w:color="B4007D" w:themeColor="accent4"/>
        </w:tcBorders>
      </w:tcPr>
    </w:tblStylePr>
    <w:tblStylePr w:type="firstCol">
      <w:rPr>
        <w:b/>
        <w:bCs/>
      </w:rPr>
    </w:tblStylePr>
    <w:tblStylePr w:type="lastCol">
      <w:rPr>
        <w:b/>
        <w:bCs/>
      </w:rPr>
    </w:tblStylePr>
    <w:tblStylePr w:type="band1Vert">
      <w:tblPr/>
      <w:tcPr>
        <w:tcBorders>
          <w:top w:val="single" w:sz="8" w:space="0" w:color="B4007D" w:themeColor="accent4"/>
          <w:left w:val="single" w:sz="8" w:space="0" w:color="B4007D" w:themeColor="accent4"/>
          <w:bottom w:val="single" w:sz="8" w:space="0" w:color="B4007D" w:themeColor="accent4"/>
          <w:right w:val="single" w:sz="8" w:space="0" w:color="B4007D" w:themeColor="accent4"/>
        </w:tcBorders>
      </w:tcPr>
    </w:tblStylePr>
    <w:tblStylePr w:type="band1Horz">
      <w:tblPr/>
      <w:tcPr>
        <w:tcBorders>
          <w:top w:val="single" w:sz="8" w:space="0" w:color="B4007D" w:themeColor="accent4"/>
          <w:left w:val="single" w:sz="8" w:space="0" w:color="B4007D" w:themeColor="accent4"/>
          <w:bottom w:val="single" w:sz="8" w:space="0" w:color="B4007D" w:themeColor="accent4"/>
          <w:right w:val="single" w:sz="8" w:space="0" w:color="B4007D" w:themeColor="accent4"/>
        </w:tcBorders>
      </w:tcPr>
    </w:tblStylePr>
  </w:style>
  <w:style w:type="table" w:styleId="HelleListe-Akzent2">
    <w:name w:val="Light List Accent 2"/>
    <w:basedOn w:val="NormaleTabelle"/>
    <w:uiPriority w:val="61"/>
    <w:rsid w:val="00EB2357"/>
    <w:pPr>
      <w:spacing w:after="0" w:line="240" w:lineRule="auto"/>
    </w:pPr>
    <w:tblPr>
      <w:tblStyleRowBandSize w:val="1"/>
      <w:tblStyleColBandSize w:val="1"/>
      <w:tblBorders>
        <w:top w:val="single" w:sz="8" w:space="0" w:color="436AAA" w:themeColor="accent2"/>
        <w:left w:val="single" w:sz="8" w:space="0" w:color="436AAA" w:themeColor="accent2"/>
        <w:bottom w:val="single" w:sz="8" w:space="0" w:color="436AAA" w:themeColor="accent2"/>
        <w:right w:val="single" w:sz="8" w:space="0" w:color="436AAA" w:themeColor="accent2"/>
      </w:tblBorders>
    </w:tblPr>
    <w:tblStylePr w:type="firstRow">
      <w:pPr>
        <w:spacing w:before="0" w:after="0" w:line="240" w:lineRule="auto"/>
      </w:pPr>
      <w:rPr>
        <w:b/>
        <w:bCs/>
        <w:color w:val="FFFFFF" w:themeColor="background1"/>
      </w:rPr>
      <w:tblPr/>
      <w:tcPr>
        <w:shd w:val="clear" w:color="auto" w:fill="436AAA" w:themeFill="accent2"/>
      </w:tcPr>
    </w:tblStylePr>
    <w:tblStylePr w:type="lastRow">
      <w:pPr>
        <w:spacing w:before="0" w:after="0" w:line="240" w:lineRule="auto"/>
      </w:pPr>
      <w:rPr>
        <w:b/>
        <w:bCs/>
      </w:rPr>
      <w:tblPr/>
      <w:tcPr>
        <w:tcBorders>
          <w:top w:val="double" w:sz="6" w:space="0" w:color="436AAA" w:themeColor="accent2"/>
          <w:left w:val="single" w:sz="8" w:space="0" w:color="436AAA" w:themeColor="accent2"/>
          <w:bottom w:val="single" w:sz="8" w:space="0" w:color="436AAA" w:themeColor="accent2"/>
          <w:right w:val="single" w:sz="8" w:space="0" w:color="436AAA" w:themeColor="accent2"/>
        </w:tcBorders>
      </w:tcPr>
    </w:tblStylePr>
    <w:tblStylePr w:type="firstCol">
      <w:rPr>
        <w:b/>
        <w:bCs/>
      </w:rPr>
    </w:tblStylePr>
    <w:tblStylePr w:type="lastCol">
      <w:rPr>
        <w:b/>
        <w:bCs/>
      </w:rPr>
    </w:tblStylePr>
    <w:tblStylePr w:type="band1Vert">
      <w:tblPr/>
      <w:tcPr>
        <w:tcBorders>
          <w:top w:val="single" w:sz="8" w:space="0" w:color="436AAA" w:themeColor="accent2"/>
          <w:left w:val="single" w:sz="8" w:space="0" w:color="436AAA" w:themeColor="accent2"/>
          <w:bottom w:val="single" w:sz="8" w:space="0" w:color="436AAA" w:themeColor="accent2"/>
          <w:right w:val="single" w:sz="8" w:space="0" w:color="436AAA" w:themeColor="accent2"/>
        </w:tcBorders>
      </w:tcPr>
    </w:tblStylePr>
    <w:tblStylePr w:type="band1Horz">
      <w:tblPr/>
      <w:tcPr>
        <w:tcBorders>
          <w:top w:val="single" w:sz="8" w:space="0" w:color="436AAA" w:themeColor="accent2"/>
          <w:left w:val="single" w:sz="8" w:space="0" w:color="436AAA" w:themeColor="accent2"/>
          <w:bottom w:val="single" w:sz="8" w:space="0" w:color="436AAA" w:themeColor="accent2"/>
          <w:right w:val="single" w:sz="8" w:space="0" w:color="436AAA"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mprion MS Office 2007">
  <a:themeElements>
    <a:clrScheme name="Amprion 2007">
      <a:dk1>
        <a:srgbClr val="000000"/>
      </a:dk1>
      <a:lt1>
        <a:srgbClr val="FFFFFF"/>
      </a:lt1>
      <a:dk2>
        <a:srgbClr val="4B1E6F"/>
      </a:dk2>
      <a:lt2>
        <a:srgbClr val="8FC8E5"/>
      </a:lt2>
      <a:accent1>
        <a:srgbClr val="53AEDD"/>
      </a:accent1>
      <a:accent2>
        <a:srgbClr val="436AAA"/>
      </a:accent2>
      <a:accent3>
        <a:srgbClr val="DF0764"/>
      </a:accent3>
      <a:accent4>
        <a:srgbClr val="B4007D"/>
      </a:accent4>
      <a:accent5>
        <a:srgbClr val="B4E100"/>
      </a:accent5>
      <a:accent6>
        <a:srgbClr val="D7003C"/>
      </a:accent6>
      <a:hlink>
        <a:srgbClr val="B4007D"/>
      </a:hlink>
      <a:folHlink>
        <a:srgbClr val="DF0764"/>
      </a:folHlink>
    </a:clrScheme>
    <a:fontScheme name="Amprion_PPT_Template_I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tx2"/>
        </a:solidFill>
        <a:ln w="9525" cap="flat" cmpd="sng" algn="ctr">
          <a:noFill/>
          <a:prstDash val="solid"/>
          <a:round/>
          <a:headEnd type="none" w="med" len="med"/>
          <a:tailEnd type="none" w="med" len="med"/>
        </a:ln>
        <a:effectLst/>
      </a:spPr>
      <a:bodyPr vert="horz" wrap="none" lIns="0" tIns="0" rIns="0" bIns="0" numCol="1" anchor="ctr" anchorCtr="0" compatLnSpc="1">
        <a:prstTxWarp prst="textNoShape">
          <a:avLst/>
        </a:prstTxWarp>
        <a:spAutoFit/>
      </a:bodyPr>
      <a:lstStyle>
        <a:defPPr marL="0" marR="0" indent="0" algn="ctr" defTabSz="914400" rtl="0" eaLnBrk="1" fontAlgn="base" latinLnBrk="0" hangingPunct="1">
          <a:lnSpc>
            <a:spcPct val="100000"/>
          </a:lnSpc>
          <a:spcBef>
            <a:spcPct val="50000"/>
          </a:spcBef>
          <a:spcAft>
            <a:spcPct val="0"/>
          </a:spcAft>
          <a:buClrTx/>
          <a:buSzTx/>
          <a:buFontTx/>
          <a:buNone/>
          <a:tabLst/>
          <a:defRPr kumimoji="0" lang="de-DE"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tx2"/>
        </a:solidFill>
        <a:ln w="9525" cap="flat" cmpd="sng" algn="ctr">
          <a:noFill/>
          <a:prstDash val="solid"/>
          <a:round/>
          <a:headEnd type="none" w="med" len="med"/>
          <a:tailEnd type="none" w="med" len="med"/>
        </a:ln>
        <a:effectLst/>
      </a:spPr>
      <a:bodyPr vert="horz" wrap="none" lIns="0" tIns="0" rIns="0" bIns="0" numCol="1" anchor="ctr" anchorCtr="0" compatLnSpc="1">
        <a:prstTxWarp prst="textNoShape">
          <a:avLst/>
        </a:prstTxWarp>
        <a:spAutoFit/>
      </a:bodyPr>
      <a:lstStyle>
        <a:defPPr marL="0" marR="0" indent="0" algn="ctr" defTabSz="914400" rtl="0" eaLnBrk="1" fontAlgn="base" latinLnBrk="0" hangingPunct="1">
          <a:lnSpc>
            <a:spcPct val="100000"/>
          </a:lnSpc>
          <a:spcBef>
            <a:spcPct val="50000"/>
          </a:spcBef>
          <a:spcAft>
            <a:spcPct val="0"/>
          </a:spcAft>
          <a:buClrTx/>
          <a:buSzTx/>
          <a:buFontTx/>
          <a:buNone/>
          <a:tabLst/>
          <a:defRPr kumimoji="0" lang="de-DE" sz="1800" b="0" i="0" u="none" strike="noStrike" cap="none" normalizeH="0" baseline="0" smtClean="0">
            <a:ln>
              <a:noFill/>
            </a:ln>
            <a:solidFill>
              <a:schemeClr val="tx1"/>
            </a:solidFill>
            <a:effectLst/>
            <a:latin typeface="Arial" charset="0"/>
          </a:defRPr>
        </a:defPPr>
      </a:lstStyle>
    </a:lnDef>
    <a:txDef>
      <a:spPr bwMode="auto">
        <a:solidFill>
          <a:srgbClr val="D2E9F5"/>
        </a:solidFill>
        <a:ln w="9525" algn="ctr">
          <a:noFill/>
          <a:miter lim="800000"/>
          <a:headEnd/>
          <a:tailEnd/>
        </a:ln>
        <a:effectLst/>
      </a:spPr>
      <a:bodyPr lIns="108000" tIns="108000" rIns="108000" bIns="108000"/>
      <a:lstStyle>
        <a:defPPr algn="l">
          <a:lnSpc>
            <a:spcPts val="1900"/>
          </a:lnSpc>
          <a:spcBef>
            <a:spcPct val="0"/>
          </a:spcBef>
          <a:defRPr sz="1400" dirty="0"/>
        </a:defPPr>
      </a:lstStyle>
    </a:txDef>
  </a:objectDefaults>
  <a:extraClrSchemeLst>
    <a:extraClrScheme>
      <a:clrScheme name="Amprion MS Office 2007">
        <a:dk1>
          <a:srgbClr val="000000"/>
        </a:dk1>
        <a:lt1>
          <a:srgbClr val="FFFFFF"/>
        </a:lt1>
        <a:dk2>
          <a:srgbClr val="4B1E6F"/>
        </a:dk2>
        <a:lt2>
          <a:srgbClr val="8FC8E5"/>
        </a:lt2>
        <a:accent1>
          <a:srgbClr val="53AEDD"/>
        </a:accent1>
        <a:accent2>
          <a:srgbClr val="436AAA"/>
        </a:accent2>
        <a:accent3>
          <a:srgbClr val="DF0764"/>
        </a:accent3>
        <a:accent4>
          <a:srgbClr val="B4007D"/>
        </a:accent4>
        <a:accent5>
          <a:srgbClr val="B4E100"/>
        </a:accent5>
        <a:accent6>
          <a:srgbClr val="D7003C"/>
        </a:accent6>
        <a:hlink>
          <a:srgbClr val="53AEDD"/>
        </a:hlink>
        <a:folHlink>
          <a:srgbClr val="DF076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720</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Amprion</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Peter</dc:creator>
  <cp:lastModifiedBy>Thomas, Peter</cp:lastModifiedBy>
  <cp:revision>3</cp:revision>
  <dcterms:created xsi:type="dcterms:W3CDTF">2018-08-20T08:51:00Z</dcterms:created>
  <dcterms:modified xsi:type="dcterms:W3CDTF">2018-08-20T08:55:00Z</dcterms:modified>
</cp:coreProperties>
</file>